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北京慈福公益基金会档案管理制度</w:t>
      </w:r>
    </w:p>
    <w:p>
      <w:pPr>
        <w:pStyle w:val="5"/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总  则</w:t>
      </w:r>
    </w:p>
    <w:p>
      <w:pPr>
        <w:pStyle w:val="5"/>
        <w:widowControl/>
        <w:numPr>
          <w:ilvl w:val="0"/>
          <w:numId w:val="0"/>
        </w:numPr>
        <w:adjustRightInd w:val="0"/>
        <w:snapToGrid w:val="0"/>
        <w:spacing w:line="276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 为加强本基金会档案管理，促进档案管理规范化、标准化，根据《中华人民共和国档案法》、《中华人民共和国档案法实施办法》（国家档案局第１号令），参照《民政部、国家档案局关于印发&lt;社会组织登记档案管理办法&gt;的通知》(民发〔2010〕101号)等规定和本基金会章程，结合实际，制定本制度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sz w:val="32"/>
          <w:szCs w:val="32"/>
        </w:rPr>
        <w:t xml:space="preserve"> 档案工作坚持统一管理、分工负责的原则，基金会秘书处负责基金会档案的统一管理，各相关部门负责各自业务工作中形成的文件材料的收集、整理、归档，并支持、配合做好档案管理工作。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档案管理部门应指定档案管理人员负责接收档案资料，并做好档案资料的立卷、归档、保管、查阅和销毁等具体管理工作，确保档案资料妥善保管、有序存放、方便查阅。 </w:t>
      </w:r>
    </w:p>
    <w:p>
      <w:pPr>
        <w:pStyle w:val="5"/>
        <w:adjustRightInd w:val="0"/>
        <w:snapToGrid w:val="0"/>
        <w:spacing w:line="276" w:lineRule="auto"/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line="276" w:lineRule="auto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归档范围</w:t>
      </w:r>
    </w:p>
    <w:p>
      <w:pPr>
        <w:pStyle w:val="5"/>
        <w:widowControl w:val="0"/>
        <w:numPr>
          <w:ilvl w:val="0"/>
          <w:numId w:val="0"/>
        </w:numPr>
        <w:adjustRightInd w:val="0"/>
        <w:snapToGrid w:val="0"/>
        <w:spacing w:line="276" w:lineRule="auto"/>
        <w:ind w:leftChars="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widowControl w:val="0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 基金会各部门按照职能业务分工，对档案进行归档，归档范围按照有关规定执行。凡是反映本基金会工作活动、具有参考利用和保存价值的各种门类和载体的文件资料，均应及时归档。会计档案按照财务管理制度及审计要求进行单独归档。</w:t>
      </w:r>
    </w:p>
    <w:p>
      <w:pPr>
        <w:pStyle w:val="5"/>
        <w:widowControl w:val="0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adjustRightInd w:val="0"/>
        <w:snapToGrid w:val="0"/>
        <w:spacing w:line="276" w:lineRule="auto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归档要求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sz w:val="32"/>
          <w:szCs w:val="32"/>
        </w:rPr>
        <w:t xml:space="preserve"> 凡属归档范围的文件材料，应按规定收集齐全，认真整理，按时向档案管理人员移交。各项业务工作中形成的文件材料的归档率、完整率应达到100％，任何个人不得据为己有或拒绝归档。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 归档的文件材料必须是办理完毕的正式文件材料。有关人员要严格把关，不得将不合规范的文件材料归档。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归档的文件材料应当齐全完整，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以“件”为单位进行整理。一般以一份文件为一件，正文与附件为一件，传真件应当复印并与原件为一件，请示与批复各为一件，一次上报的多份表格，每份表格可为一件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 归档文件应按照自然形成、保持历史联系的原则依序排列，印件在前、定稿在后，正件在前、附件在后，批复在前、请示在后，并符合长期保管的质量要求。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第九条  </w:t>
      </w:r>
      <w:r>
        <w:rPr>
          <w:rFonts w:hint="eastAsia" w:ascii="仿宋" w:hAnsi="仿宋" w:eastAsia="仿宋" w:cs="仿宋"/>
          <w:sz w:val="32"/>
          <w:szCs w:val="32"/>
        </w:rPr>
        <w:t>建立电子档案，有电子版的归档文件，一律与纸质文件同步存档，并做好电子档案的备份存储工作。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归档文件资料必须按规定时间归档，严格归档手续。归档时应拟制移交清单一式二份，交接双方据此查验清点档案，签名交接。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第十一条 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应当建立档案名录等检索工具。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276" w:lineRule="auto"/>
        <w:ind w:left="0" w:leftChars="0"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档案的保管、移交、销毁</w:t>
      </w:r>
    </w:p>
    <w:p>
      <w:pPr>
        <w:pStyle w:val="5"/>
        <w:numPr>
          <w:ilvl w:val="0"/>
          <w:numId w:val="0"/>
        </w:numPr>
        <w:adjustRightInd w:val="0"/>
        <w:snapToGrid w:val="0"/>
        <w:spacing w:line="276" w:lineRule="auto"/>
        <w:ind w:leftChars="0"/>
        <w:jc w:val="both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5"/>
        <w:adjustRightInd w:val="0"/>
        <w:snapToGrid w:val="0"/>
        <w:spacing w:line="27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第十二条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档案保管应配置安全防范设施，加强防火、防盗、防潮、防尘、防虫等工作，保证档案的完好与安全。定期检查档案保管情况，发现问题及时处理。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第十三条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档案不得借出，如有特殊需要，经秘书长和理事长批准，由本会档案管理人员陪同并办理登记手续，可以提供查阅、摘抄、复印。查阅档案时，严禁在档案上作涂改、圈划、抽换、批注、污损。发现上述情况应追究当事人责任。</w:t>
      </w:r>
    </w:p>
    <w:p>
      <w:pPr>
        <w:pStyle w:val="5"/>
        <w:adjustRightInd w:val="0"/>
        <w:snapToGrid w:val="0"/>
        <w:spacing w:line="27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第十四条</w:t>
      </w:r>
      <w:r>
        <w:rPr>
          <w:rFonts w:hint="eastAsia" w:ascii="仿宋" w:hAnsi="仿宋" w:eastAsia="仿宋" w:cs="仿宋"/>
          <w:sz w:val="32"/>
          <w:szCs w:val="32"/>
        </w:rPr>
        <w:t xml:space="preserve">  档案移交、销毁按有关法律规定执行。</w:t>
      </w:r>
    </w:p>
    <w:p>
      <w:pPr>
        <w:pStyle w:val="5"/>
        <w:adjustRightInd w:val="0"/>
        <w:snapToGrid w:val="0"/>
        <w:spacing w:line="276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276" w:lineRule="auto"/>
        <w:ind w:left="0" w:leftChars="0" w:firstLine="0" w:firstLineChars="0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附  则</w:t>
      </w:r>
    </w:p>
    <w:p>
      <w:pPr>
        <w:pStyle w:val="5"/>
        <w:numPr>
          <w:ilvl w:val="0"/>
          <w:numId w:val="0"/>
        </w:numPr>
        <w:adjustRightInd w:val="0"/>
        <w:snapToGrid w:val="0"/>
        <w:spacing w:line="276" w:lineRule="auto"/>
        <w:ind w:leftChars="0"/>
        <w:jc w:val="both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 w:ascii="仿宋" w:hAnsi="仿宋" w:eastAsia="仿宋" w:cs="仿宋"/>
          <w:sz w:val="32"/>
          <w:szCs w:val="32"/>
        </w:rPr>
        <w:t>第十五条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本制度未尽事宜或与有关规定不一致的，按有关规定执行。</w:t>
      </w:r>
    </w:p>
    <w:p>
      <w:pPr>
        <w:autoSpaceDN w:val="0"/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第十六条  </w:t>
      </w:r>
      <w:r>
        <w:rPr>
          <w:rFonts w:hint="eastAsia" w:ascii="仿宋" w:hAnsi="仿宋" w:eastAsia="仿宋" w:cs="仿宋"/>
          <w:sz w:val="32"/>
          <w:szCs w:val="32"/>
        </w:rPr>
        <w:t>本制度由理事会负责解释。</w:t>
      </w:r>
    </w:p>
    <w:p>
      <w:pPr>
        <w:snapToGrid w:val="0"/>
        <w:spacing w:line="276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第十七条  本制度自20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0"/>
          <w:sz w:val="32"/>
          <w:szCs w:val="32"/>
        </w:rPr>
        <w:t>月1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日理事会审议通过后执行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276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F0D9"/>
    <w:multiLevelType w:val="singleLevel"/>
    <w:tmpl w:val="67D5F0D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B4"/>
    <w:rsid w:val="00215705"/>
    <w:rsid w:val="007A78CB"/>
    <w:rsid w:val="00815CB4"/>
    <w:rsid w:val="1EE535F7"/>
    <w:rsid w:val="74E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0 Char"/>
    <w:link w:val="5"/>
    <w:locked/>
    <w:uiPriority w:val="0"/>
    <w:rPr>
      <w:sz w:val="21"/>
      <w:szCs w:val="21"/>
    </w:rPr>
  </w:style>
  <w:style w:type="paragraph" w:customStyle="1" w:styleId="5">
    <w:name w:val="p0"/>
    <w:basedOn w:val="1"/>
    <w:link w:val="4"/>
    <w:uiPriority w:val="0"/>
    <w:pPr>
      <w:widowControl/>
      <w:adjustRightInd/>
      <w:spacing w:line="240" w:lineRule="auto"/>
      <w:textAlignment w:val="auto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1061</Characters>
  <Lines>8</Lines>
  <Paragraphs>2</Paragraphs>
  <TotalTime>0</TotalTime>
  <ScaleCrop>false</ScaleCrop>
  <LinksUpToDate>false</LinksUpToDate>
  <CharactersWithSpaces>1244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2017-07-12T07:56:00Z</dcterms:created>
  <dc:creator>Microsoft Office 用户</dc:creator>
  <cp:lastModifiedBy>Aspirin</cp:lastModifiedBy>
  <dcterms:modified xsi:type="dcterms:W3CDTF">2020-12-21T14:14:58Z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