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line="276" w:lineRule="auto"/>
        <w:jc w:val="center"/>
        <w:rPr>
          <w:rFonts w:hint="eastAsia" w:ascii="黑体" w:hAnsi="黑体" w:eastAsia="黑体" w:cs="黑体"/>
          <w:bCs/>
          <w:sz w:val="44"/>
          <w:szCs w:val="44"/>
        </w:rPr>
      </w:pPr>
      <w:r>
        <w:rPr>
          <w:rFonts w:hint="eastAsia" w:ascii="黑体" w:hAnsi="黑体" w:eastAsia="黑体" w:cs="黑体"/>
          <w:bCs/>
          <w:sz w:val="44"/>
          <w:szCs w:val="44"/>
        </w:rPr>
        <w:t>北京慈福公益基金会信息公开制度</w:t>
      </w:r>
    </w:p>
    <w:p>
      <w:pPr>
        <w:autoSpaceDN w:val="0"/>
        <w:snapToGrid w:val="0"/>
        <w:spacing w:line="276" w:lineRule="auto"/>
        <w:ind w:firstLine="640" w:firstLineChars="200"/>
        <w:jc w:val="center"/>
        <w:rPr>
          <w:rFonts w:hint="eastAsia" w:ascii="黑体" w:hAnsi="黑体" w:eastAsia="黑体" w:cs="黑体"/>
          <w:sz w:val="32"/>
          <w:szCs w:val="32"/>
        </w:rPr>
      </w:pPr>
    </w:p>
    <w:p>
      <w:pPr>
        <w:numPr>
          <w:ilvl w:val="0"/>
          <w:numId w:val="1"/>
        </w:numPr>
        <w:autoSpaceDN w:val="0"/>
        <w:snapToGrid w:val="0"/>
        <w:spacing w:line="276" w:lineRule="auto"/>
        <w:jc w:val="center"/>
        <w:rPr>
          <w:rFonts w:hint="eastAsia" w:ascii="黑体" w:hAnsi="黑体" w:eastAsia="黑体" w:cs="黑体"/>
          <w:bCs/>
          <w:sz w:val="32"/>
          <w:szCs w:val="32"/>
        </w:rPr>
      </w:pPr>
      <w:r>
        <w:rPr>
          <w:rFonts w:hint="eastAsia" w:ascii="黑体" w:hAnsi="黑体" w:eastAsia="黑体" w:cs="黑体"/>
          <w:bCs/>
          <w:sz w:val="32"/>
          <w:szCs w:val="32"/>
        </w:rPr>
        <w:t xml:space="preserve"> 总  则</w:t>
      </w:r>
    </w:p>
    <w:p>
      <w:pPr>
        <w:numPr>
          <w:ilvl w:val="0"/>
          <w:numId w:val="0"/>
        </w:numPr>
        <w:autoSpaceDN w:val="0"/>
        <w:snapToGrid w:val="0"/>
        <w:spacing w:line="276" w:lineRule="auto"/>
        <w:jc w:val="both"/>
        <w:rPr>
          <w:rFonts w:hint="eastAsia" w:ascii="黑体" w:hAnsi="黑体" w:eastAsia="黑体" w:cs="黑体"/>
          <w:bCs/>
          <w:sz w:val="32"/>
          <w:szCs w:val="32"/>
        </w:rPr>
      </w:pPr>
    </w:p>
    <w:p>
      <w:pPr>
        <w:keepNext w:val="0"/>
        <w:keepLines w:val="0"/>
        <w:pageBreakBefore w:val="0"/>
        <w:kinsoku/>
        <w:wordWrap/>
        <w:overflowPunct/>
        <w:topLinePunct w:val="0"/>
        <w:autoSpaceDE/>
        <w:autoSpaceDN w:val="0"/>
        <w:bidi w:val="0"/>
        <w:snapToGrid w:val="0"/>
        <w:spacing w:line="312" w:lineRule="auto"/>
        <w:ind w:firstLine="640" w:firstLineChars="200"/>
        <w:rPr>
          <w:rFonts w:hint="eastAsia" w:ascii="仿宋" w:hAnsi="仿宋" w:eastAsia="仿宋" w:cs="仿宋"/>
          <w:b/>
          <w:sz w:val="32"/>
          <w:szCs w:val="32"/>
        </w:rPr>
      </w:pPr>
      <w:r>
        <w:rPr>
          <w:rFonts w:hint="eastAsia" w:ascii="仿宋" w:hAnsi="仿宋" w:eastAsia="仿宋" w:cs="仿宋"/>
          <w:bCs/>
          <w:sz w:val="32"/>
          <w:szCs w:val="32"/>
        </w:rPr>
        <w:t>第一条</w:t>
      </w:r>
      <w:r>
        <w:rPr>
          <w:rFonts w:hint="eastAsia" w:ascii="仿宋" w:hAnsi="仿宋" w:eastAsia="仿宋" w:cs="仿宋"/>
          <w:b/>
          <w:sz w:val="32"/>
          <w:szCs w:val="32"/>
        </w:rPr>
        <w:t xml:space="preserve">  </w:t>
      </w:r>
      <w:r>
        <w:rPr>
          <w:rFonts w:hint="eastAsia" w:ascii="仿宋" w:hAnsi="仿宋" w:eastAsia="仿宋" w:cs="仿宋"/>
          <w:sz w:val="32"/>
          <w:szCs w:val="32"/>
        </w:rPr>
        <w:t>为规范本基金会信息公开行为，落实有关信息公开规定，保护捐赠人及相关当事人的合法权益，提升基金会公开透明运作水平，接受社会监督，根据国家相关规定、行业政策和本基金会章程，结合实际，制定本制度。</w:t>
      </w:r>
    </w:p>
    <w:p>
      <w:pPr>
        <w:keepNext w:val="0"/>
        <w:keepLines w:val="0"/>
        <w:pageBreakBefore w:val="0"/>
        <w:kinsoku/>
        <w:wordWrap/>
        <w:overflowPunct/>
        <w:topLinePunct w:val="0"/>
        <w:autoSpaceDE/>
        <w:autoSpaceDN w:val="0"/>
        <w:bidi w:val="0"/>
        <w:snapToGrid w:val="0"/>
        <w:spacing w:line="312"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第二条 </w:t>
      </w:r>
      <w:r>
        <w:rPr>
          <w:rFonts w:hint="eastAsia" w:ascii="仿宋" w:hAnsi="仿宋" w:eastAsia="仿宋" w:cs="仿宋"/>
          <w:b/>
          <w:sz w:val="32"/>
          <w:szCs w:val="32"/>
        </w:rPr>
        <w:t xml:space="preserve"> </w:t>
      </w:r>
      <w:r>
        <w:rPr>
          <w:rFonts w:hint="eastAsia" w:ascii="仿宋" w:hAnsi="仿宋" w:eastAsia="仿宋" w:cs="仿宋"/>
          <w:sz w:val="32"/>
          <w:szCs w:val="32"/>
        </w:rPr>
        <w:t>本制度所称信息公开，是指基金会按规定将相关信息通过媒体向社会公布的行为和其他信息公开行为。</w:t>
      </w:r>
    </w:p>
    <w:p>
      <w:pPr>
        <w:pStyle w:val="8"/>
        <w:keepNext w:val="0"/>
        <w:keepLines w:val="0"/>
        <w:pageBreakBefore w:val="0"/>
        <w:tabs>
          <w:tab w:val="left" w:pos="5334"/>
        </w:tabs>
        <w:kinsoku/>
        <w:wordWrap/>
        <w:overflowPunct/>
        <w:topLinePunct w:val="0"/>
        <w:autoSpaceDE/>
        <w:bidi w:val="0"/>
        <w:adjustRightInd w:val="0"/>
        <w:snapToGrid w:val="0"/>
        <w:spacing w:line="312" w:lineRule="auto"/>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ab/>
      </w:r>
    </w:p>
    <w:p>
      <w:pPr>
        <w:pStyle w:val="8"/>
        <w:keepNext w:val="0"/>
        <w:keepLines w:val="0"/>
        <w:pageBreakBefore w:val="0"/>
        <w:numPr>
          <w:ilvl w:val="0"/>
          <w:numId w:val="1"/>
        </w:numPr>
        <w:kinsoku/>
        <w:wordWrap/>
        <w:overflowPunct/>
        <w:topLinePunct w:val="0"/>
        <w:autoSpaceDE/>
        <w:bidi w:val="0"/>
        <w:adjustRightInd w:val="0"/>
        <w:snapToGrid w:val="0"/>
        <w:spacing w:line="312"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信息公开内容</w:t>
      </w:r>
    </w:p>
    <w:p>
      <w:pPr>
        <w:pStyle w:val="8"/>
        <w:keepNext w:val="0"/>
        <w:keepLines w:val="0"/>
        <w:pageBreakBefore w:val="0"/>
        <w:numPr>
          <w:ilvl w:val="0"/>
          <w:numId w:val="0"/>
        </w:numPr>
        <w:kinsoku/>
        <w:wordWrap/>
        <w:overflowPunct/>
        <w:topLinePunct w:val="0"/>
        <w:autoSpaceDE/>
        <w:bidi w:val="0"/>
        <w:adjustRightInd w:val="0"/>
        <w:snapToGrid w:val="0"/>
        <w:spacing w:line="312" w:lineRule="auto"/>
        <w:ind w:leftChars="0"/>
        <w:jc w:val="both"/>
        <w:rPr>
          <w:rFonts w:hint="eastAsia" w:ascii="黑体" w:hAnsi="黑体" w:eastAsia="黑体" w:cs="黑体"/>
          <w:bCs/>
          <w:sz w:val="32"/>
          <w:szCs w:val="32"/>
        </w:rPr>
      </w:pPr>
    </w:p>
    <w:p>
      <w:pPr>
        <w:keepNext w:val="0"/>
        <w:keepLines w:val="0"/>
        <w:pageBreakBefore w:val="0"/>
        <w:widowControl/>
        <w:shd w:val="clear" w:color="auto" w:fill="FFFFFF"/>
        <w:kinsoku/>
        <w:wordWrap/>
        <w:overflowPunct/>
        <w:topLinePunct w:val="0"/>
        <w:autoSpaceDE/>
        <w:bidi w:val="0"/>
        <w:adjustRightInd/>
        <w:spacing w:line="312" w:lineRule="auto"/>
        <w:ind w:left="45" w:right="45" w:firstLine="640" w:firstLineChars="200"/>
        <w:jc w:val="left"/>
        <w:textAlignment w:val="auto"/>
        <w:rPr>
          <w:rFonts w:hint="eastAsia" w:ascii="仿宋" w:hAnsi="仿宋" w:eastAsia="仿宋" w:cs="仿宋"/>
          <w:kern w:val="0"/>
          <w:sz w:val="32"/>
          <w:szCs w:val="32"/>
        </w:rPr>
      </w:pPr>
      <w:r>
        <w:rPr>
          <w:rFonts w:hint="eastAsia" w:ascii="仿宋" w:hAnsi="仿宋" w:eastAsia="仿宋" w:cs="仿宋"/>
          <w:bCs/>
          <w:sz w:val="32"/>
          <w:szCs w:val="32"/>
        </w:rPr>
        <w:t>第三条</w:t>
      </w:r>
      <w:r>
        <w:rPr>
          <w:rFonts w:hint="eastAsia" w:ascii="仿宋" w:hAnsi="仿宋" w:eastAsia="仿宋" w:cs="仿宋"/>
          <w:sz w:val="32"/>
          <w:szCs w:val="32"/>
        </w:rPr>
        <w:t xml:space="preserve">  基金会应当及时向社会公布以下信息：</w:t>
      </w:r>
    </w:p>
    <w:p>
      <w:pPr>
        <w:keepNext w:val="0"/>
        <w:keepLines w:val="0"/>
        <w:pageBreakBefore w:val="0"/>
        <w:kinsoku/>
        <w:wordWrap/>
        <w:overflowPunct/>
        <w:topLinePunct w:val="0"/>
        <w:autoSpaceDE/>
        <w:autoSpaceDN w:val="0"/>
        <w:bidi w:val="0"/>
        <w:snapToGrid w:val="0"/>
        <w:spacing w:line="312"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（一）年度工作报告。包括经审计后的财务会计报告、注册会计师审计报告，开展募捐、接受捐赠、财产管理使用、开展公益项目等情况，人员、机构基本信息和变动情况等；</w:t>
      </w:r>
    </w:p>
    <w:p>
      <w:pPr>
        <w:keepNext w:val="0"/>
        <w:keepLines w:val="0"/>
        <w:pageBreakBefore w:val="0"/>
        <w:kinsoku/>
        <w:wordWrap/>
        <w:overflowPunct/>
        <w:topLinePunct w:val="0"/>
        <w:autoSpaceDE/>
        <w:bidi w:val="0"/>
        <w:snapToGrid w:val="0"/>
        <w:spacing w:line="312"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（二）公开募捐活动信息。包括活动名称、目标、计划、地域、起止时间，捐赠人权利义务，募集款物目标、数额、计划、用途、成本预算及开支情况，募捐活动合作伙伴、合作方式等。</w:t>
      </w: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公开募捐活动持续期间内，及时公布募捐活动所取得的收入和用于开展公益活动的成本支出情况。募捐活动结束后，应公布募捐活动取得的总收入及使用情况。募捐周期大于</w:t>
      </w:r>
      <w:r>
        <w:rPr>
          <w:rFonts w:hint="eastAsia" w:ascii="仿宋" w:hAnsi="仿宋" w:eastAsia="仿宋" w:cs="仿宋"/>
          <w:sz w:val="32"/>
          <w:szCs w:val="32"/>
          <w:lang w:val="en-US" w:eastAsia="zh-CN"/>
        </w:rPr>
        <w:t>6</w:t>
      </w:r>
      <w:bookmarkStart w:id="0" w:name="_GoBack"/>
      <w:bookmarkEnd w:id="0"/>
      <w:r>
        <w:rPr>
          <w:rFonts w:hint="eastAsia" w:ascii="仿宋" w:hAnsi="仿宋" w:eastAsia="仿宋" w:cs="仿宋"/>
          <w:sz w:val="32"/>
          <w:szCs w:val="32"/>
        </w:rPr>
        <w:t>个月的，至少每</w:t>
      </w:r>
      <w:r>
        <w:rPr>
          <w:rFonts w:hint="eastAsia" w:ascii="仿宋" w:hAnsi="仿宋" w:eastAsia="仿宋" w:cs="仿宋"/>
          <w:sz w:val="32"/>
          <w:szCs w:val="32"/>
          <w:lang w:val="en-US" w:eastAsia="zh-CN"/>
        </w:rPr>
        <w:t>3</w:t>
      </w:r>
      <w:r>
        <w:rPr>
          <w:rFonts w:hint="eastAsia" w:ascii="仿宋" w:hAnsi="仿宋" w:eastAsia="仿宋" w:cs="仿宋"/>
          <w:sz w:val="32"/>
          <w:szCs w:val="32"/>
        </w:rPr>
        <w:t>个月公布一次，募捐结束后</w:t>
      </w:r>
      <w:r>
        <w:rPr>
          <w:rFonts w:hint="eastAsia" w:ascii="仿宋" w:hAnsi="仿宋" w:eastAsia="仿宋" w:cs="仿宋"/>
          <w:sz w:val="32"/>
          <w:szCs w:val="32"/>
          <w:lang w:val="en-US" w:eastAsia="zh-CN"/>
        </w:rPr>
        <w:t>3</w:t>
      </w:r>
      <w:r>
        <w:rPr>
          <w:rFonts w:hint="eastAsia" w:ascii="仿宋" w:hAnsi="仿宋" w:eastAsia="仿宋" w:cs="仿宋"/>
          <w:sz w:val="32"/>
          <w:szCs w:val="32"/>
        </w:rPr>
        <w:t>个月内全面公布。</w:t>
      </w: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开展联合募捐活动，还应公布联合募捐合作协议，募捐方向，募捐财产使用计划、成本分担等内容。</w:t>
      </w: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（三）接受捐赠以及为自然灾害等突发事件接受的公益捐赠信息。包括捐赠款物时间、来源、性质（定向或非定向捐赠）、数额、是</w:t>
      </w:r>
      <w:r>
        <w:rPr>
          <w:rFonts w:hint="eastAsia" w:ascii="仿宋" w:hAnsi="仿宋" w:eastAsia="仿宋" w:cs="仿宋"/>
          <w:kern w:val="0"/>
          <w:sz w:val="32"/>
          <w:szCs w:val="32"/>
        </w:rPr>
        <w:t>否开具捐赠收据，</w:t>
      </w:r>
      <w:r>
        <w:rPr>
          <w:rFonts w:hint="eastAsia" w:ascii="仿宋" w:hAnsi="仿宋" w:eastAsia="仿宋" w:cs="仿宋"/>
          <w:sz w:val="32"/>
          <w:szCs w:val="32"/>
        </w:rPr>
        <w:t>直接用于受助人的款物，与开展公益项目相关的各项直接运行费用等。在捐赠收入中列支了工作人员工资福利和行政办公支出的，还应公布列支情况；</w:t>
      </w:r>
    </w:p>
    <w:p>
      <w:pPr>
        <w:keepNext w:val="0"/>
        <w:keepLines w:val="0"/>
        <w:pageBreakBefore w:val="0"/>
        <w:widowControl/>
        <w:shd w:val="clear" w:color="auto" w:fill="FFFFFF"/>
        <w:kinsoku/>
        <w:wordWrap/>
        <w:overflowPunct/>
        <w:topLinePunct w:val="0"/>
        <w:autoSpaceDE/>
        <w:bidi w:val="0"/>
        <w:adjustRightInd/>
        <w:spacing w:line="312" w:lineRule="auto"/>
        <w:ind w:left="44" w:leftChars="21" w:right="45"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（四）开展公益资助项目信息。包括公益资助项目种类、资助标准，申请、评审程序，工作规范等。评审结束后，公布评审结果并通知申请人。</w:t>
      </w:r>
      <w:r>
        <w:rPr>
          <w:rFonts w:hint="eastAsia" w:ascii="仿宋" w:hAnsi="仿宋" w:eastAsia="仿宋" w:cs="仿宋"/>
          <w:kern w:val="0"/>
          <w:sz w:val="32"/>
          <w:szCs w:val="32"/>
        </w:rPr>
        <w:t>项目实施周期大于</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个月的，至少每</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个月公布一次项目实施情况，项目结束后</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个月内公布项目实施情况和募得款物使用情况等全部信息。</w:t>
      </w:r>
      <w:r>
        <w:rPr>
          <w:rFonts w:hint="eastAsia" w:ascii="仿宋" w:hAnsi="仿宋" w:eastAsia="仿宋" w:cs="仿宋"/>
          <w:sz w:val="32"/>
          <w:szCs w:val="32"/>
        </w:rPr>
        <w:t>对项目进行评估的，应同时公布评估结果；</w:t>
      </w: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（五）基金会关联方信息。包括发起人，主要捐赠人，理事主要来源单位，基金会投资的被投资方，其他与基金会存在控制、共同控制或者重大影响关系的个人或组织，基金会与上述个人或组织发生的交易等；</w:t>
      </w: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基金会章程、内部管理制度及其他内部信息。包括章程、内部管理制度，决策、执行、监督机构成员信息，工作人员工资福利、行政办公支出的支付标准、列支原则、审批程序，开展公益项目所发生的直接运行费用的支付标准、列支原则、审批程序，资产管理和处置原则、审批程序以及用于投资的资产占基金会总资产的比例等。</w:t>
      </w:r>
    </w:p>
    <w:p>
      <w:pPr>
        <w:keepNext w:val="0"/>
        <w:keepLines w:val="0"/>
        <w:pageBreakBefore w:val="0"/>
        <w:kinsoku/>
        <w:wordWrap/>
        <w:overflowPunct/>
        <w:topLinePunct w:val="0"/>
        <w:autoSpaceDE/>
        <w:autoSpaceDN w:val="0"/>
        <w:bidi w:val="0"/>
        <w:snapToGrid w:val="0"/>
        <w:spacing w:line="312"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上述信息发生重大变更的，应及时向社会公布。</w:t>
      </w:r>
    </w:p>
    <w:p>
      <w:pPr>
        <w:keepNext w:val="0"/>
        <w:keepLines w:val="0"/>
        <w:pageBreakBefore w:val="0"/>
        <w:kinsoku/>
        <w:wordWrap/>
        <w:overflowPunct/>
        <w:topLinePunct w:val="0"/>
        <w:autoSpaceDE/>
        <w:autoSpaceDN w:val="0"/>
        <w:bidi w:val="0"/>
        <w:snapToGrid w:val="0"/>
        <w:spacing w:line="312"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 基金会理事会换届审计、法定代表人离任审计、重大公益项目专项审计的审计报告，应当按照登记管理机关要求及时向社会公布。</w:t>
      </w: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sz w:val="32"/>
          <w:szCs w:val="32"/>
        </w:rPr>
      </w:pPr>
      <w:r>
        <w:rPr>
          <w:rFonts w:hint="eastAsia" w:ascii="仿宋" w:hAnsi="仿宋" w:eastAsia="仿宋" w:cs="仿宋"/>
          <w:bCs/>
          <w:sz w:val="32"/>
          <w:szCs w:val="32"/>
        </w:rPr>
        <w:t>第四条</w:t>
      </w:r>
      <w:r>
        <w:rPr>
          <w:rFonts w:hint="eastAsia" w:ascii="仿宋" w:hAnsi="仿宋" w:eastAsia="仿宋" w:cs="仿宋"/>
          <w:b/>
          <w:sz w:val="32"/>
          <w:szCs w:val="32"/>
        </w:rPr>
        <w:t xml:space="preserve">  </w:t>
      </w:r>
      <w:r>
        <w:rPr>
          <w:rFonts w:hint="eastAsia" w:ascii="仿宋" w:hAnsi="仿宋" w:eastAsia="仿宋" w:cs="仿宋"/>
          <w:sz w:val="32"/>
          <w:szCs w:val="32"/>
        </w:rPr>
        <w:t>在履行信息公布义务的基础上，本基金会为进一步公开透明运作，自行公开更多信息：</w:t>
      </w: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半</w:t>
      </w:r>
      <w:r>
        <w:rPr>
          <w:rFonts w:hint="eastAsia" w:ascii="仿宋" w:hAnsi="仿宋" w:eastAsia="仿宋" w:cs="仿宋"/>
          <w:sz w:val="32"/>
          <w:szCs w:val="32"/>
        </w:rPr>
        <w:t>年工作报告、季度工作报告、月报告等；</w:t>
      </w: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（二）专项基金管理报告、志愿者报告等专业性报告信息。</w:t>
      </w:r>
    </w:p>
    <w:p>
      <w:pPr>
        <w:pStyle w:val="8"/>
        <w:keepNext w:val="0"/>
        <w:keepLines w:val="0"/>
        <w:pageBreakBefore w:val="0"/>
        <w:kinsoku/>
        <w:wordWrap/>
        <w:overflowPunct/>
        <w:topLinePunct w:val="0"/>
        <w:autoSpaceDE/>
        <w:bidi w:val="0"/>
        <w:adjustRightInd w:val="0"/>
        <w:snapToGrid w:val="0"/>
        <w:spacing w:line="312" w:lineRule="auto"/>
        <w:ind w:firstLine="640" w:firstLineChars="200"/>
        <w:jc w:val="center"/>
        <w:rPr>
          <w:rFonts w:hint="eastAsia" w:ascii="仿宋" w:hAnsi="仿宋" w:eastAsia="仿宋" w:cs="仿宋"/>
          <w:bCs/>
          <w:sz w:val="32"/>
          <w:szCs w:val="32"/>
        </w:rPr>
      </w:pPr>
    </w:p>
    <w:p>
      <w:pPr>
        <w:pStyle w:val="8"/>
        <w:keepNext w:val="0"/>
        <w:keepLines w:val="0"/>
        <w:pageBreakBefore w:val="0"/>
        <w:numPr>
          <w:ilvl w:val="0"/>
          <w:numId w:val="1"/>
        </w:numPr>
        <w:kinsoku/>
        <w:wordWrap/>
        <w:overflowPunct/>
        <w:topLinePunct w:val="0"/>
        <w:autoSpaceDE/>
        <w:bidi w:val="0"/>
        <w:adjustRightInd w:val="0"/>
        <w:snapToGrid w:val="0"/>
        <w:spacing w:line="312"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信息公开方式</w:t>
      </w:r>
    </w:p>
    <w:p>
      <w:pPr>
        <w:pStyle w:val="8"/>
        <w:keepNext w:val="0"/>
        <w:keepLines w:val="0"/>
        <w:pageBreakBefore w:val="0"/>
        <w:numPr>
          <w:ilvl w:val="0"/>
          <w:numId w:val="0"/>
        </w:numPr>
        <w:kinsoku/>
        <w:wordWrap/>
        <w:overflowPunct/>
        <w:topLinePunct w:val="0"/>
        <w:autoSpaceDE/>
        <w:bidi w:val="0"/>
        <w:adjustRightInd w:val="0"/>
        <w:snapToGrid w:val="0"/>
        <w:spacing w:line="312" w:lineRule="auto"/>
        <w:ind w:leftChars="0"/>
        <w:jc w:val="both"/>
        <w:rPr>
          <w:rFonts w:hint="eastAsia" w:ascii="仿宋" w:hAnsi="仿宋" w:eastAsia="仿宋" w:cs="仿宋"/>
          <w:bCs/>
          <w:sz w:val="32"/>
          <w:szCs w:val="32"/>
        </w:rPr>
      </w:pP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kern w:val="0"/>
          <w:sz w:val="32"/>
          <w:szCs w:val="32"/>
        </w:rPr>
      </w:pPr>
      <w:r>
        <w:rPr>
          <w:rFonts w:hint="eastAsia" w:ascii="仿宋" w:hAnsi="仿宋" w:eastAsia="仿宋" w:cs="仿宋"/>
          <w:bCs/>
          <w:sz w:val="32"/>
          <w:szCs w:val="32"/>
        </w:rPr>
        <w:t xml:space="preserve">第五条  </w:t>
      </w:r>
      <w:r>
        <w:rPr>
          <w:rFonts w:hint="eastAsia" w:ascii="仿宋" w:hAnsi="仿宋" w:eastAsia="仿宋" w:cs="仿宋"/>
          <w:kern w:val="0"/>
          <w:sz w:val="32"/>
          <w:szCs w:val="32"/>
        </w:rPr>
        <w:t>基金会可通过登记管理机关指定的信息平台，基金会出版物（年报、通讯等）、官方网站，大众媒体（网站、电视、报纸、电台、杂志等），定期邮寄或电子邮件、微信、微博，以及其他方式公开信息</w:t>
      </w:r>
      <w:r>
        <w:rPr>
          <w:rFonts w:hint="eastAsia" w:ascii="仿宋" w:hAnsi="仿宋" w:eastAsia="仿宋" w:cs="仿宋"/>
          <w:sz w:val="32"/>
          <w:szCs w:val="32"/>
        </w:rPr>
        <w:t>。</w:t>
      </w: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kern w:val="0"/>
          <w:sz w:val="32"/>
          <w:szCs w:val="32"/>
        </w:rPr>
      </w:pPr>
      <w:r>
        <w:rPr>
          <w:rFonts w:hint="eastAsia" w:ascii="仿宋" w:hAnsi="仿宋" w:eastAsia="仿宋" w:cs="仿宋"/>
          <w:bCs/>
          <w:sz w:val="32"/>
          <w:szCs w:val="32"/>
        </w:rPr>
        <w:t>第六条</w:t>
      </w:r>
      <w:r>
        <w:rPr>
          <w:rFonts w:hint="eastAsia" w:ascii="仿宋" w:hAnsi="仿宋" w:eastAsia="仿宋" w:cs="仿宋"/>
          <w:kern w:val="0"/>
          <w:sz w:val="32"/>
          <w:szCs w:val="32"/>
        </w:rPr>
        <w:t xml:space="preserve">  为加强与社会公众的互动交流，本基金会应当利用多种有利契机开展形式多样的信息公开活动。</w:t>
      </w:r>
    </w:p>
    <w:p>
      <w:pPr>
        <w:keepNext w:val="0"/>
        <w:keepLines w:val="0"/>
        <w:pageBreakBefore w:val="0"/>
        <w:kinsoku/>
        <w:wordWrap/>
        <w:overflowPunct/>
        <w:topLinePunct w:val="0"/>
        <w:autoSpaceDE/>
        <w:bidi w:val="0"/>
        <w:snapToGrid w:val="0"/>
        <w:spacing w:line="312" w:lineRule="auto"/>
        <w:ind w:firstLine="640" w:firstLineChars="200"/>
        <w:jc w:val="both"/>
        <w:rPr>
          <w:rFonts w:hint="eastAsia" w:ascii="仿宋" w:hAnsi="仿宋" w:eastAsia="仿宋" w:cs="仿宋"/>
          <w:sz w:val="32"/>
          <w:szCs w:val="32"/>
        </w:rPr>
      </w:pPr>
      <w:r>
        <w:rPr>
          <w:rFonts w:hint="eastAsia" w:ascii="仿宋" w:hAnsi="仿宋" w:eastAsia="仿宋" w:cs="仿宋"/>
          <w:bCs/>
          <w:sz w:val="32"/>
          <w:szCs w:val="32"/>
        </w:rPr>
        <w:t>第七条</w:t>
      </w:r>
      <w:r>
        <w:rPr>
          <w:rStyle w:val="6"/>
          <w:rFonts w:hint="eastAsia" w:ascii="仿宋" w:hAnsi="仿宋" w:eastAsia="仿宋" w:cs="仿宋"/>
          <w:b/>
          <w:bCs/>
          <w:sz w:val="32"/>
          <w:szCs w:val="32"/>
        </w:rPr>
        <w:t xml:space="preserve">  </w:t>
      </w:r>
      <w:r>
        <w:rPr>
          <w:rFonts w:hint="eastAsia" w:ascii="仿宋" w:hAnsi="仿宋" w:eastAsia="仿宋" w:cs="仿宋"/>
          <w:sz w:val="32"/>
          <w:szCs w:val="32"/>
        </w:rPr>
        <w:t>基金会年度工作报告在登记管理机关审查通过后</w:t>
      </w:r>
      <w:r>
        <w:rPr>
          <w:rFonts w:hint="eastAsia" w:ascii="仿宋" w:hAnsi="仿宋" w:eastAsia="仿宋" w:cs="仿宋"/>
          <w:kern w:val="0"/>
          <w:sz w:val="32"/>
          <w:szCs w:val="32"/>
        </w:rPr>
        <w:t>30日内，按照统一的格式要求，在登记管理机关指定的媒体上公布年度工作报告（包括财务会计报告和注册会计师审计报告）。</w:t>
      </w:r>
    </w:p>
    <w:p>
      <w:pPr>
        <w:pStyle w:val="8"/>
        <w:keepNext w:val="0"/>
        <w:keepLines w:val="0"/>
        <w:pageBreakBefore w:val="0"/>
        <w:kinsoku/>
        <w:wordWrap/>
        <w:overflowPunct/>
        <w:topLinePunct w:val="0"/>
        <w:autoSpaceDE/>
        <w:bidi w:val="0"/>
        <w:adjustRightInd w:val="0"/>
        <w:snapToGrid w:val="0"/>
        <w:spacing w:line="312" w:lineRule="auto"/>
        <w:ind w:firstLine="640" w:firstLineChars="200"/>
        <w:jc w:val="center"/>
        <w:rPr>
          <w:rFonts w:hint="eastAsia" w:ascii="仿宋" w:hAnsi="仿宋" w:eastAsia="仿宋" w:cs="仿宋"/>
          <w:bCs/>
          <w:sz w:val="32"/>
          <w:szCs w:val="32"/>
        </w:rPr>
      </w:pPr>
    </w:p>
    <w:p>
      <w:pPr>
        <w:pStyle w:val="8"/>
        <w:keepNext w:val="0"/>
        <w:keepLines w:val="0"/>
        <w:pageBreakBefore w:val="0"/>
        <w:numPr>
          <w:ilvl w:val="0"/>
          <w:numId w:val="1"/>
        </w:numPr>
        <w:kinsoku/>
        <w:wordWrap/>
        <w:overflowPunct/>
        <w:topLinePunct w:val="0"/>
        <w:autoSpaceDE/>
        <w:bidi w:val="0"/>
        <w:adjustRightInd w:val="0"/>
        <w:snapToGrid w:val="0"/>
        <w:spacing w:line="312"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信息公开管理</w:t>
      </w:r>
    </w:p>
    <w:p>
      <w:pPr>
        <w:pStyle w:val="8"/>
        <w:keepNext w:val="0"/>
        <w:keepLines w:val="0"/>
        <w:pageBreakBefore w:val="0"/>
        <w:numPr>
          <w:ilvl w:val="0"/>
          <w:numId w:val="0"/>
        </w:numPr>
        <w:kinsoku/>
        <w:wordWrap/>
        <w:overflowPunct/>
        <w:topLinePunct w:val="0"/>
        <w:autoSpaceDE/>
        <w:bidi w:val="0"/>
        <w:adjustRightInd w:val="0"/>
        <w:snapToGrid w:val="0"/>
        <w:spacing w:line="312" w:lineRule="auto"/>
        <w:ind w:leftChars="0"/>
        <w:jc w:val="both"/>
        <w:rPr>
          <w:rFonts w:hint="eastAsia" w:ascii="仿宋" w:hAnsi="仿宋" w:eastAsia="仿宋" w:cs="仿宋"/>
          <w:bCs/>
          <w:sz w:val="32"/>
          <w:szCs w:val="32"/>
        </w:rPr>
      </w:pP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第八条 </w:t>
      </w:r>
      <w:r>
        <w:rPr>
          <w:rFonts w:hint="eastAsia" w:ascii="仿宋" w:hAnsi="仿宋" w:eastAsia="仿宋" w:cs="仿宋"/>
          <w:b/>
          <w:bCs/>
          <w:sz w:val="32"/>
          <w:szCs w:val="32"/>
        </w:rPr>
        <w:t xml:space="preserve"> </w:t>
      </w:r>
      <w:r>
        <w:rPr>
          <w:rFonts w:hint="eastAsia" w:ascii="仿宋" w:hAnsi="仿宋" w:eastAsia="仿宋" w:cs="仿宋"/>
          <w:sz w:val="32"/>
          <w:szCs w:val="32"/>
        </w:rPr>
        <w:t>基金会指定专人负责信息公开工作。</w:t>
      </w:r>
    </w:p>
    <w:p>
      <w:pPr>
        <w:keepNext w:val="0"/>
        <w:keepLines w:val="0"/>
        <w:pageBreakBefore w:val="0"/>
        <w:kinsoku/>
        <w:wordWrap/>
        <w:overflowPunct/>
        <w:topLinePunct w:val="0"/>
        <w:autoSpaceDE/>
        <w:bidi w:val="0"/>
        <w:snapToGrid w:val="0"/>
        <w:spacing w:line="312"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第九条 </w:t>
      </w:r>
      <w:r>
        <w:rPr>
          <w:rFonts w:hint="eastAsia" w:ascii="仿宋" w:hAnsi="仿宋" w:eastAsia="仿宋" w:cs="仿宋"/>
          <w:b/>
          <w:bCs/>
          <w:sz w:val="32"/>
          <w:szCs w:val="32"/>
        </w:rPr>
        <w:t xml:space="preserve"> </w:t>
      </w:r>
      <w:r>
        <w:rPr>
          <w:rFonts w:hint="eastAsia" w:ascii="仿宋" w:hAnsi="仿宋" w:eastAsia="仿宋" w:cs="仿宋"/>
          <w:sz w:val="32"/>
          <w:szCs w:val="32"/>
        </w:rPr>
        <w:t>信息公布的工作流程、规范：</w:t>
      </w:r>
    </w:p>
    <w:p>
      <w:pPr>
        <w:keepNext w:val="0"/>
        <w:keepLines w:val="0"/>
        <w:pageBreakBefore w:val="0"/>
        <w:numPr>
          <w:ilvl w:val="0"/>
          <w:numId w:val="2"/>
        </w:numPr>
        <w:kinsoku/>
        <w:wordWrap/>
        <w:overflowPunct/>
        <w:topLinePunct w:val="0"/>
        <w:autoSpaceDE/>
        <w:bidi w:val="0"/>
        <w:snapToGrid w:val="0"/>
        <w:spacing w:line="312" w:lineRule="auto"/>
        <w:ind w:left="0" w:firstLine="604" w:firstLineChars="189"/>
        <w:jc w:val="left"/>
        <w:rPr>
          <w:rFonts w:hint="eastAsia" w:ascii="仿宋" w:hAnsi="仿宋" w:eastAsia="仿宋" w:cs="仿宋"/>
          <w:sz w:val="32"/>
          <w:szCs w:val="32"/>
        </w:rPr>
      </w:pPr>
      <w:r>
        <w:rPr>
          <w:rFonts w:hint="eastAsia" w:ascii="仿宋" w:hAnsi="仿宋" w:eastAsia="仿宋" w:cs="仿宋"/>
          <w:sz w:val="32"/>
          <w:szCs w:val="32"/>
        </w:rPr>
        <w:t>宣传部起草信息公布内容；</w:t>
      </w:r>
    </w:p>
    <w:p>
      <w:pPr>
        <w:keepNext w:val="0"/>
        <w:keepLines w:val="0"/>
        <w:pageBreakBefore w:val="0"/>
        <w:numPr>
          <w:ilvl w:val="0"/>
          <w:numId w:val="2"/>
        </w:numPr>
        <w:kinsoku/>
        <w:wordWrap/>
        <w:overflowPunct/>
        <w:topLinePunct w:val="0"/>
        <w:autoSpaceDE/>
        <w:bidi w:val="0"/>
        <w:snapToGrid w:val="0"/>
        <w:spacing w:line="312" w:lineRule="auto"/>
        <w:ind w:left="0" w:firstLine="604" w:firstLineChars="189"/>
        <w:jc w:val="left"/>
        <w:rPr>
          <w:rFonts w:hint="eastAsia" w:ascii="仿宋" w:hAnsi="仿宋" w:eastAsia="仿宋" w:cs="仿宋"/>
          <w:sz w:val="32"/>
          <w:szCs w:val="32"/>
        </w:rPr>
      </w:pPr>
      <w:r>
        <w:rPr>
          <w:rFonts w:hint="eastAsia" w:ascii="仿宋" w:hAnsi="仿宋" w:eastAsia="仿宋" w:cs="仿宋"/>
          <w:sz w:val="32"/>
          <w:szCs w:val="32"/>
        </w:rPr>
        <w:t>会同项目部、财务部、秘书处整理相关数据资料；</w:t>
      </w:r>
    </w:p>
    <w:p>
      <w:pPr>
        <w:keepNext w:val="0"/>
        <w:keepLines w:val="0"/>
        <w:pageBreakBefore w:val="0"/>
        <w:numPr>
          <w:ilvl w:val="0"/>
          <w:numId w:val="2"/>
        </w:numPr>
        <w:kinsoku/>
        <w:wordWrap/>
        <w:overflowPunct/>
        <w:topLinePunct w:val="0"/>
        <w:autoSpaceDE/>
        <w:bidi w:val="0"/>
        <w:snapToGrid w:val="0"/>
        <w:spacing w:line="312" w:lineRule="auto"/>
        <w:ind w:left="0" w:firstLine="604" w:firstLineChars="189"/>
        <w:jc w:val="left"/>
        <w:rPr>
          <w:rFonts w:hint="eastAsia" w:ascii="仿宋" w:hAnsi="仿宋" w:eastAsia="仿宋" w:cs="仿宋"/>
          <w:sz w:val="32"/>
          <w:szCs w:val="32"/>
        </w:rPr>
      </w:pPr>
      <w:r>
        <w:rPr>
          <w:rFonts w:hint="eastAsia" w:ascii="仿宋" w:hAnsi="仿宋" w:eastAsia="仿宋" w:cs="仿宋"/>
          <w:sz w:val="32"/>
          <w:szCs w:val="32"/>
        </w:rPr>
        <w:t>经秘书长、副秘书长审批后，在相应公示平台发布；</w:t>
      </w:r>
    </w:p>
    <w:p>
      <w:pPr>
        <w:keepNext w:val="0"/>
        <w:keepLines w:val="0"/>
        <w:pageBreakBefore w:val="0"/>
        <w:numPr>
          <w:ilvl w:val="0"/>
          <w:numId w:val="2"/>
        </w:numPr>
        <w:kinsoku/>
        <w:wordWrap/>
        <w:overflowPunct/>
        <w:topLinePunct w:val="0"/>
        <w:autoSpaceDE/>
        <w:bidi w:val="0"/>
        <w:snapToGrid w:val="0"/>
        <w:spacing w:line="312" w:lineRule="auto"/>
        <w:ind w:left="0" w:firstLine="604" w:firstLineChars="189"/>
        <w:jc w:val="left"/>
        <w:rPr>
          <w:rFonts w:hint="eastAsia" w:ascii="仿宋" w:hAnsi="仿宋" w:eastAsia="仿宋" w:cs="仿宋"/>
          <w:sz w:val="32"/>
          <w:szCs w:val="32"/>
        </w:rPr>
      </w:pPr>
      <w:r>
        <w:rPr>
          <w:rFonts w:hint="eastAsia" w:ascii="仿宋" w:hAnsi="仿宋" w:eastAsia="仿宋" w:cs="仿宋"/>
          <w:sz w:val="32"/>
          <w:szCs w:val="32"/>
        </w:rPr>
        <w:t>秘书处负责日常监督执行，理事会负责年度监督执行；</w:t>
      </w:r>
    </w:p>
    <w:p>
      <w:pPr>
        <w:keepNext w:val="0"/>
        <w:keepLines w:val="0"/>
        <w:pageBreakBefore w:val="0"/>
        <w:numPr>
          <w:ilvl w:val="0"/>
          <w:numId w:val="2"/>
        </w:numPr>
        <w:kinsoku/>
        <w:wordWrap/>
        <w:overflowPunct/>
        <w:topLinePunct w:val="0"/>
        <w:autoSpaceDE/>
        <w:bidi w:val="0"/>
        <w:snapToGrid w:val="0"/>
        <w:spacing w:line="312" w:lineRule="auto"/>
        <w:ind w:left="0" w:firstLine="604" w:firstLineChars="189"/>
        <w:jc w:val="both"/>
        <w:rPr>
          <w:rFonts w:hint="eastAsia" w:ascii="仿宋" w:hAnsi="仿宋" w:eastAsia="仿宋" w:cs="仿宋"/>
          <w:sz w:val="32"/>
          <w:szCs w:val="32"/>
        </w:rPr>
      </w:pPr>
      <w:r>
        <w:rPr>
          <w:rFonts w:hint="eastAsia" w:ascii="仿宋" w:hAnsi="仿宋" w:eastAsia="仿宋" w:cs="仿宋"/>
          <w:sz w:val="32"/>
          <w:szCs w:val="32"/>
        </w:rPr>
        <w:t>信息公开内容范围包括：项目公开信息、对外公示捐赠信息、基金会规章管理制度、年度工作报告和审计报告等。</w:t>
      </w:r>
    </w:p>
    <w:p>
      <w:pPr>
        <w:keepNext w:val="0"/>
        <w:keepLines w:val="0"/>
        <w:pageBreakBefore w:val="0"/>
        <w:numPr>
          <w:ilvl w:val="0"/>
          <w:numId w:val="2"/>
        </w:numPr>
        <w:kinsoku/>
        <w:wordWrap/>
        <w:overflowPunct/>
        <w:topLinePunct w:val="0"/>
        <w:autoSpaceDE/>
        <w:bidi w:val="0"/>
        <w:snapToGrid w:val="0"/>
        <w:spacing w:line="312" w:lineRule="auto"/>
        <w:ind w:left="0" w:firstLine="604" w:firstLineChars="189"/>
        <w:jc w:val="both"/>
        <w:rPr>
          <w:rFonts w:hint="eastAsia" w:ascii="仿宋" w:hAnsi="仿宋" w:eastAsia="仿宋" w:cs="仿宋"/>
          <w:sz w:val="32"/>
          <w:szCs w:val="32"/>
        </w:rPr>
      </w:pPr>
      <w:r>
        <w:rPr>
          <w:rFonts w:hint="eastAsia" w:ascii="仿宋" w:hAnsi="仿宋" w:eastAsia="仿宋" w:cs="仿宋"/>
          <w:sz w:val="32"/>
          <w:szCs w:val="32"/>
        </w:rPr>
        <w:t>“三个一”项目</w:t>
      </w:r>
      <w:r>
        <w:rPr>
          <w:rFonts w:hint="eastAsia" w:ascii="仿宋" w:hAnsi="仿宋" w:eastAsia="仿宋" w:cs="仿宋"/>
          <w:sz w:val="32"/>
          <w:szCs w:val="32"/>
          <w:lang w:val="en-US" w:eastAsia="zh-CN"/>
        </w:rPr>
        <w:t>每季度</w:t>
      </w:r>
      <w:r>
        <w:rPr>
          <w:rFonts w:hint="eastAsia" w:ascii="仿宋" w:hAnsi="仿宋" w:eastAsia="仿宋" w:cs="仿宋"/>
          <w:sz w:val="32"/>
          <w:szCs w:val="32"/>
        </w:rPr>
        <w:t>在基金会</w:t>
      </w:r>
      <w:r>
        <w:rPr>
          <w:rFonts w:hint="eastAsia" w:ascii="仿宋" w:hAnsi="仿宋" w:eastAsia="仿宋" w:cs="仿宋"/>
          <w:sz w:val="32"/>
          <w:szCs w:val="32"/>
          <w:lang w:val="en-US" w:eastAsia="zh-CN"/>
        </w:rPr>
        <w:t>官微和官网平台公示收支</w:t>
      </w:r>
      <w:r>
        <w:rPr>
          <w:rFonts w:hint="eastAsia" w:ascii="仿宋" w:hAnsi="仿宋" w:eastAsia="仿宋" w:cs="仿宋"/>
          <w:sz w:val="32"/>
          <w:szCs w:val="32"/>
        </w:rPr>
        <w:t>情况。</w:t>
      </w:r>
    </w:p>
    <w:p>
      <w:pPr>
        <w:keepNext w:val="0"/>
        <w:keepLines w:val="0"/>
        <w:pageBreakBefore w:val="0"/>
        <w:numPr>
          <w:ilvl w:val="0"/>
          <w:numId w:val="2"/>
        </w:numPr>
        <w:kinsoku/>
        <w:wordWrap/>
        <w:overflowPunct/>
        <w:topLinePunct w:val="0"/>
        <w:autoSpaceDE/>
        <w:bidi w:val="0"/>
        <w:snapToGrid w:val="0"/>
        <w:spacing w:line="312" w:lineRule="auto"/>
        <w:ind w:left="0" w:firstLine="604" w:firstLineChars="189"/>
        <w:jc w:val="both"/>
        <w:rPr>
          <w:rFonts w:hint="eastAsia" w:ascii="仿宋" w:hAnsi="仿宋" w:eastAsia="仿宋" w:cs="仿宋"/>
          <w:sz w:val="32"/>
          <w:szCs w:val="32"/>
        </w:rPr>
      </w:pPr>
      <w:r>
        <w:rPr>
          <w:rFonts w:hint="eastAsia" w:ascii="仿宋" w:hAnsi="仿宋" w:eastAsia="仿宋" w:cs="仿宋"/>
          <w:sz w:val="32"/>
          <w:szCs w:val="32"/>
        </w:rPr>
        <w:t>基金会官方网站的捐赠情况公示由财务部提供捐赠数据和项目总支出收据。</w:t>
      </w:r>
    </w:p>
    <w:p>
      <w:pPr>
        <w:keepNext w:val="0"/>
        <w:keepLines w:val="0"/>
        <w:pageBreakBefore w:val="0"/>
        <w:numPr>
          <w:ilvl w:val="0"/>
          <w:numId w:val="2"/>
        </w:numPr>
        <w:kinsoku/>
        <w:wordWrap/>
        <w:overflowPunct/>
        <w:topLinePunct w:val="0"/>
        <w:autoSpaceDE/>
        <w:bidi w:val="0"/>
        <w:snapToGrid w:val="0"/>
        <w:spacing w:line="312" w:lineRule="auto"/>
        <w:ind w:left="0" w:firstLine="604" w:firstLineChars="189"/>
        <w:jc w:val="both"/>
        <w:rPr>
          <w:rFonts w:hint="eastAsia" w:ascii="仿宋" w:hAnsi="仿宋" w:eastAsia="仿宋" w:cs="仿宋"/>
          <w:sz w:val="32"/>
          <w:szCs w:val="32"/>
        </w:rPr>
      </w:pPr>
      <w:r>
        <w:rPr>
          <w:rFonts w:hint="eastAsia" w:ascii="仿宋" w:hAnsi="仿宋" w:eastAsia="仿宋" w:cs="仿宋"/>
          <w:sz w:val="32"/>
          <w:szCs w:val="32"/>
        </w:rPr>
        <w:t>每年6月之前提交年度工作报告和审计报告，分别由秘书处和财务部提供。</w:t>
      </w:r>
      <w:r>
        <w:rPr>
          <w:rFonts w:hint="eastAsia" w:ascii="仿宋" w:hAnsi="仿宋" w:eastAsia="仿宋" w:cs="仿宋"/>
          <w:sz w:val="32"/>
          <w:szCs w:val="32"/>
        </w:rPr>
        <w:tab/>
      </w:r>
    </w:p>
    <w:p>
      <w:pPr>
        <w:keepNext w:val="0"/>
        <w:keepLines w:val="0"/>
        <w:pageBreakBefore w:val="0"/>
        <w:kinsoku/>
        <w:wordWrap/>
        <w:overflowPunct/>
        <w:topLinePunct w:val="0"/>
        <w:autoSpaceDE/>
        <w:bidi w:val="0"/>
        <w:snapToGrid w:val="0"/>
        <w:spacing w:line="312"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第十条</w:t>
      </w:r>
      <w:r>
        <w:rPr>
          <w:rFonts w:hint="eastAsia" w:ascii="仿宋" w:hAnsi="仿宋" w:eastAsia="仿宋" w:cs="仿宋"/>
          <w:b/>
          <w:bCs/>
          <w:sz w:val="32"/>
          <w:szCs w:val="32"/>
        </w:rPr>
        <w:t xml:space="preserve">  </w:t>
      </w:r>
      <w:r>
        <w:rPr>
          <w:rFonts w:hint="eastAsia" w:ascii="仿宋" w:hAnsi="仿宋" w:eastAsia="仿宋" w:cs="仿宋"/>
          <w:sz w:val="32"/>
          <w:szCs w:val="32"/>
        </w:rPr>
        <w:t>基金会信息公布所使用的媒体应当能够覆盖基金会的活动地域。所有公开的信息应当注明基金会的基本情况和联系、咨询方式。</w:t>
      </w:r>
    </w:p>
    <w:p>
      <w:pPr>
        <w:keepNext w:val="0"/>
        <w:keepLines w:val="0"/>
        <w:pageBreakBefore w:val="0"/>
        <w:kinsoku/>
        <w:wordWrap/>
        <w:overflowPunct/>
        <w:topLinePunct w:val="0"/>
        <w:autoSpaceDE/>
        <w:bidi w:val="0"/>
        <w:snapToGrid w:val="0"/>
        <w:spacing w:line="312"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第十一条  基金会信息一经公开，不得任意修改。确需修改的，应严格履行内部管理制度规定的程序，在修改后重新公开，并说明理由，声明原信息作废。</w:t>
      </w:r>
    </w:p>
    <w:p>
      <w:pPr>
        <w:keepNext w:val="0"/>
        <w:keepLines w:val="0"/>
        <w:pageBreakBefore w:val="0"/>
        <w:kinsoku/>
        <w:wordWrap/>
        <w:overflowPunct/>
        <w:topLinePunct w:val="0"/>
        <w:autoSpaceDE/>
        <w:bidi w:val="0"/>
        <w:snapToGrid w:val="0"/>
        <w:spacing w:line="312"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第十三条  对于公共媒体上出现的对基金会造成或者可能造成不利影响的消息，基金会应及时公开说明或澄清。</w:t>
      </w:r>
    </w:p>
    <w:p>
      <w:pPr>
        <w:keepNext w:val="0"/>
        <w:keepLines w:val="0"/>
        <w:pageBreakBefore w:val="0"/>
        <w:kinsoku/>
        <w:wordWrap/>
        <w:overflowPunct/>
        <w:topLinePunct w:val="0"/>
        <w:autoSpaceDE/>
        <w:bidi w:val="0"/>
        <w:snapToGrid w:val="0"/>
        <w:spacing w:line="312"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第十四条  基金会制作信息公开档案，对已经公开的信息资料，妥善保管。</w:t>
      </w:r>
    </w:p>
    <w:p>
      <w:pPr>
        <w:pStyle w:val="8"/>
        <w:keepNext w:val="0"/>
        <w:keepLines w:val="0"/>
        <w:pageBreakBefore w:val="0"/>
        <w:kinsoku/>
        <w:wordWrap/>
        <w:overflowPunct/>
        <w:topLinePunct w:val="0"/>
        <w:autoSpaceDE/>
        <w:bidi w:val="0"/>
        <w:adjustRightInd w:val="0"/>
        <w:snapToGrid w:val="0"/>
        <w:spacing w:line="312" w:lineRule="auto"/>
        <w:ind w:firstLine="640" w:firstLineChars="200"/>
        <w:jc w:val="center"/>
        <w:rPr>
          <w:rFonts w:hint="eastAsia" w:ascii="仿宋" w:hAnsi="仿宋" w:eastAsia="仿宋" w:cs="仿宋"/>
          <w:sz w:val="32"/>
          <w:szCs w:val="32"/>
        </w:rPr>
      </w:pPr>
    </w:p>
    <w:p>
      <w:pPr>
        <w:pStyle w:val="8"/>
        <w:keepNext w:val="0"/>
        <w:keepLines w:val="0"/>
        <w:pageBreakBefore w:val="0"/>
        <w:numPr>
          <w:ilvl w:val="0"/>
          <w:numId w:val="1"/>
        </w:numPr>
        <w:kinsoku/>
        <w:wordWrap/>
        <w:overflowPunct/>
        <w:topLinePunct w:val="0"/>
        <w:autoSpaceDE/>
        <w:bidi w:val="0"/>
        <w:adjustRightInd w:val="0"/>
        <w:snapToGrid w:val="0"/>
        <w:spacing w:line="312" w:lineRule="auto"/>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信息公开监督</w:t>
      </w:r>
    </w:p>
    <w:p>
      <w:pPr>
        <w:pStyle w:val="8"/>
        <w:keepNext w:val="0"/>
        <w:keepLines w:val="0"/>
        <w:pageBreakBefore w:val="0"/>
        <w:numPr>
          <w:ilvl w:val="0"/>
          <w:numId w:val="0"/>
        </w:numPr>
        <w:kinsoku/>
        <w:wordWrap/>
        <w:overflowPunct/>
        <w:topLinePunct w:val="0"/>
        <w:autoSpaceDE/>
        <w:bidi w:val="0"/>
        <w:adjustRightInd w:val="0"/>
        <w:snapToGrid w:val="0"/>
        <w:spacing w:line="312" w:lineRule="auto"/>
        <w:ind w:leftChars="0"/>
        <w:jc w:val="both"/>
        <w:rPr>
          <w:rFonts w:hint="eastAsia" w:ascii="仿宋" w:hAnsi="仿宋" w:eastAsia="仿宋" w:cs="仿宋"/>
          <w:sz w:val="32"/>
          <w:szCs w:val="32"/>
        </w:rPr>
      </w:pPr>
    </w:p>
    <w:p>
      <w:pPr>
        <w:keepNext w:val="0"/>
        <w:keepLines w:val="0"/>
        <w:pageBreakBefore w:val="0"/>
        <w:kinsoku/>
        <w:wordWrap/>
        <w:overflowPunct/>
        <w:topLinePunct w:val="0"/>
        <w:autoSpaceDE/>
        <w:autoSpaceDN w:val="0"/>
        <w:bidi w:val="0"/>
        <w:snapToGrid w:val="0"/>
        <w:spacing w:line="312"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第十五条  基金会是信息公开的义务人，对公开信息内容的真实性、准确性、完整性和及时性负责，保证捐赠人和社会公众能够方便、快捷地查阅公开的信息，主动接受捐赠方、政府部门和社会公众的监督。</w:t>
      </w:r>
    </w:p>
    <w:p>
      <w:pPr>
        <w:keepNext w:val="0"/>
        <w:keepLines w:val="0"/>
        <w:pageBreakBefore w:val="0"/>
        <w:kinsoku/>
        <w:wordWrap/>
        <w:overflowPunct/>
        <w:topLinePunct w:val="0"/>
        <w:autoSpaceDE/>
        <w:bidi w:val="0"/>
        <w:snapToGrid w:val="0"/>
        <w:spacing w:line="312"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第十六条 </w:t>
      </w:r>
      <w:r>
        <w:rPr>
          <w:rFonts w:hint="eastAsia" w:ascii="仿宋" w:hAnsi="仿宋" w:eastAsia="仿宋" w:cs="仿宋"/>
          <w:b/>
          <w:bCs/>
          <w:sz w:val="32"/>
          <w:szCs w:val="32"/>
        </w:rPr>
        <w:t xml:space="preserve"> </w:t>
      </w:r>
      <w:r>
        <w:rPr>
          <w:rFonts w:hint="eastAsia" w:ascii="仿宋" w:hAnsi="仿宋" w:eastAsia="仿宋" w:cs="仿宋"/>
          <w:sz w:val="32"/>
          <w:szCs w:val="32"/>
        </w:rPr>
        <w:t>基金会将信息公开情况如实反映在年度工作报告中，接受登记管理机关监督检查。</w:t>
      </w:r>
    </w:p>
    <w:p>
      <w:pPr>
        <w:keepNext w:val="0"/>
        <w:keepLines w:val="0"/>
        <w:pageBreakBefore w:val="0"/>
        <w:widowControl/>
        <w:shd w:val="clear" w:color="auto" w:fill="FFFFFF"/>
        <w:kinsoku/>
        <w:wordWrap/>
        <w:overflowPunct/>
        <w:topLinePunct w:val="0"/>
        <w:autoSpaceDE/>
        <w:bidi w:val="0"/>
        <w:adjustRightInd/>
        <w:spacing w:line="312" w:lineRule="auto"/>
        <w:ind w:left="45" w:right="45" w:firstLine="640" w:firstLineChars="200"/>
        <w:jc w:val="both"/>
        <w:textAlignment w:val="auto"/>
        <w:rPr>
          <w:rFonts w:hint="eastAsia" w:ascii="仿宋" w:hAnsi="仿宋" w:eastAsia="仿宋" w:cs="仿宋"/>
          <w:kern w:val="0"/>
          <w:sz w:val="32"/>
          <w:szCs w:val="32"/>
        </w:rPr>
      </w:pPr>
      <w:r>
        <w:rPr>
          <w:rFonts w:hint="eastAsia" w:ascii="仿宋" w:hAnsi="仿宋" w:eastAsia="仿宋" w:cs="仿宋"/>
          <w:sz w:val="32"/>
          <w:szCs w:val="32"/>
        </w:rPr>
        <w:t>第十七条</w:t>
      </w:r>
      <w:r>
        <w:rPr>
          <w:rFonts w:hint="eastAsia" w:ascii="仿宋" w:hAnsi="仿宋" w:eastAsia="仿宋" w:cs="仿宋"/>
          <w:b/>
          <w:bCs/>
          <w:sz w:val="32"/>
          <w:szCs w:val="32"/>
        </w:rPr>
        <w:t xml:space="preserve">  </w:t>
      </w:r>
      <w:r>
        <w:rPr>
          <w:rFonts w:hint="eastAsia" w:ascii="仿宋" w:hAnsi="仿宋" w:eastAsia="仿宋" w:cs="仿宋"/>
          <w:bCs/>
          <w:sz w:val="32"/>
          <w:szCs w:val="32"/>
        </w:rPr>
        <w:t>涉及</w:t>
      </w:r>
      <w:r>
        <w:rPr>
          <w:rFonts w:hint="eastAsia" w:ascii="仿宋" w:hAnsi="仿宋" w:eastAsia="仿宋" w:cs="仿宋"/>
          <w:sz w:val="32"/>
          <w:szCs w:val="32"/>
        </w:rPr>
        <w:t>国家安全、个人隐私、商业秘密的信息和法律、法规规定不予公开的其他信息</w:t>
      </w:r>
      <w:r>
        <w:rPr>
          <w:rFonts w:hint="eastAsia" w:ascii="仿宋" w:hAnsi="仿宋" w:eastAsia="仿宋" w:cs="仿宋"/>
          <w:kern w:val="0"/>
          <w:sz w:val="32"/>
          <w:szCs w:val="32"/>
        </w:rPr>
        <w:t>，以及捐赠人、慈善信托的委托人或者受益人不同意公开自己的姓名、名称、住所等信息的</w:t>
      </w:r>
      <w:r>
        <w:rPr>
          <w:rStyle w:val="6"/>
          <w:rFonts w:hint="eastAsia" w:ascii="仿宋" w:hAnsi="仿宋" w:eastAsia="仿宋" w:cs="仿宋"/>
          <w:sz w:val="32"/>
          <w:szCs w:val="32"/>
        </w:rPr>
        <w:t>，</w:t>
      </w:r>
      <w:r>
        <w:rPr>
          <w:rFonts w:hint="eastAsia" w:ascii="仿宋" w:hAnsi="仿宋" w:eastAsia="仿宋" w:cs="仿宋"/>
          <w:kern w:val="0"/>
          <w:sz w:val="32"/>
          <w:szCs w:val="32"/>
        </w:rPr>
        <w:t>不得公开，但</w:t>
      </w:r>
      <w:r>
        <w:rPr>
          <w:rFonts w:hint="eastAsia" w:ascii="仿宋" w:hAnsi="仿宋" w:eastAsia="仿宋" w:cs="仿宋"/>
          <w:sz w:val="32"/>
          <w:szCs w:val="32"/>
        </w:rPr>
        <w:t>应当接受登记管理机关等政府相关职能部门的监督审查。</w:t>
      </w:r>
    </w:p>
    <w:p>
      <w:pPr>
        <w:pStyle w:val="8"/>
        <w:keepNext w:val="0"/>
        <w:keepLines w:val="0"/>
        <w:pageBreakBefore w:val="0"/>
        <w:kinsoku/>
        <w:wordWrap/>
        <w:overflowPunct/>
        <w:topLinePunct w:val="0"/>
        <w:autoSpaceDE/>
        <w:bidi w:val="0"/>
        <w:adjustRightInd w:val="0"/>
        <w:snapToGrid w:val="0"/>
        <w:spacing w:line="312" w:lineRule="auto"/>
        <w:ind w:firstLine="640" w:firstLineChars="200"/>
        <w:jc w:val="both"/>
        <w:rPr>
          <w:rFonts w:hint="eastAsia" w:ascii="仿宋" w:hAnsi="仿宋" w:eastAsia="仿宋" w:cs="仿宋"/>
          <w:sz w:val="32"/>
          <w:szCs w:val="32"/>
        </w:rPr>
      </w:pPr>
    </w:p>
    <w:p>
      <w:pPr>
        <w:pStyle w:val="8"/>
        <w:keepNext w:val="0"/>
        <w:keepLines w:val="0"/>
        <w:pageBreakBefore w:val="0"/>
        <w:numPr>
          <w:ilvl w:val="0"/>
          <w:numId w:val="1"/>
        </w:numPr>
        <w:kinsoku/>
        <w:wordWrap/>
        <w:overflowPunct/>
        <w:topLinePunct w:val="0"/>
        <w:autoSpaceDE/>
        <w:bidi w:val="0"/>
        <w:adjustRightInd w:val="0"/>
        <w:snapToGrid w:val="0"/>
        <w:spacing w:line="312" w:lineRule="auto"/>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  则</w:t>
      </w:r>
    </w:p>
    <w:p>
      <w:pPr>
        <w:pStyle w:val="8"/>
        <w:keepNext w:val="0"/>
        <w:keepLines w:val="0"/>
        <w:pageBreakBefore w:val="0"/>
        <w:numPr>
          <w:ilvl w:val="0"/>
          <w:numId w:val="0"/>
        </w:numPr>
        <w:kinsoku/>
        <w:wordWrap/>
        <w:overflowPunct/>
        <w:topLinePunct w:val="0"/>
        <w:autoSpaceDE/>
        <w:bidi w:val="0"/>
        <w:adjustRightInd w:val="0"/>
        <w:snapToGrid w:val="0"/>
        <w:spacing w:line="312" w:lineRule="auto"/>
        <w:ind w:leftChars="0"/>
        <w:jc w:val="both"/>
        <w:rPr>
          <w:rFonts w:hint="eastAsia" w:ascii="仿宋" w:hAnsi="仿宋" w:eastAsia="仿宋" w:cs="仿宋"/>
          <w:sz w:val="32"/>
          <w:szCs w:val="32"/>
        </w:rPr>
      </w:pPr>
    </w:p>
    <w:p>
      <w:pPr>
        <w:keepNext w:val="0"/>
        <w:keepLines w:val="0"/>
        <w:pageBreakBefore w:val="0"/>
        <w:kinsoku/>
        <w:wordWrap/>
        <w:overflowPunct/>
        <w:topLinePunct w:val="0"/>
        <w:autoSpaceDE/>
        <w:autoSpaceDN w:val="0"/>
        <w:bidi w:val="0"/>
        <w:snapToGrid w:val="0"/>
        <w:spacing w:line="312" w:lineRule="auto"/>
        <w:ind w:firstLine="640" w:firstLineChars="200"/>
        <w:jc w:val="both"/>
        <w:rPr>
          <w:rFonts w:hint="eastAsia" w:ascii="仿宋" w:hAnsi="仿宋" w:eastAsia="仿宋" w:cs="仿宋"/>
          <w:sz w:val="32"/>
          <w:szCs w:val="32"/>
        </w:rPr>
      </w:pPr>
      <w:r>
        <w:rPr>
          <w:rStyle w:val="7"/>
          <w:rFonts w:hint="eastAsia" w:ascii="仿宋" w:hAnsi="仿宋" w:eastAsia="仿宋" w:cs="仿宋"/>
          <w:sz w:val="32"/>
          <w:szCs w:val="32"/>
        </w:rPr>
        <w:t>第十八条</w:t>
      </w:r>
      <w:r>
        <w:rPr>
          <w:rFonts w:hint="eastAsia" w:ascii="仿宋" w:hAnsi="仿宋" w:eastAsia="仿宋" w:cs="仿宋"/>
          <w:bCs/>
          <w:sz w:val="32"/>
          <w:szCs w:val="32"/>
        </w:rPr>
        <w:t xml:space="preserve">  </w:t>
      </w:r>
      <w:r>
        <w:rPr>
          <w:rFonts w:hint="eastAsia" w:ascii="仿宋" w:hAnsi="仿宋" w:eastAsia="仿宋" w:cs="仿宋"/>
          <w:sz w:val="32"/>
          <w:szCs w:val="32"/>
        </w:rPr>
        <w:t>本制度未尽事宜或与有关规定不一致的，按有关规定执行。</w:t>
      </w:r>
    </w:p>
    <w:p>
      <w:pPr>
        <w:keepNext w:val="0"/>
        <w:keepLines w:val="0"/>
        <w:pageBreakBefore w:val="0"/>
        <w:kinsoku/>
        <w:wordWrap/>
        <w:overflowPunct/>
        <w:topLinePunct w:val="0"/>
        <w:autoSpaceDE/>
        <w:autoSpaceDN w:val="0"/>
        <w:bidi w:val="0"/>
        <w:snapToGrid w:val="0"/>
        <w:spacing w:line="312" w:lineRule="auto"/>
        <w:ind w:firstLine="640" w:firstLineChars="200"/>
        <w:jc w:val="both"/>
        <w:rPr>
          <w:rFonts w:hint="eastAsia" w:ascii="仿宋" w:hAnsi="仿宋" w:eastAsia="仿宋" w:cs="仿宋"/>
          <w:b/>
          <w:sz w:val="32"/>
          <w:szCs w:val="32"/>
        </w:rPr>
      </w:pPr>
      <w:r>
        <w:rPr>
          <w:rFonts w:hint="eastAsia" w:ascii="仿宋" w:hAnsi="仿宋" w:eastAsia="仿宋" w:cs="仿宋"/>
          <w:bCs/>
          <w:sz w:val="32"/>
          <w:szCs w:val="32"/>
        </w:rPr>
        <w:t xml:space="preserve">第十九条  </w:t>
      </w:r>
      <w:r>
        <w:rPr>
          <w:rFonts w:hint="eastAsia" w:ascii="仿宋" w:hAnsi="仿宋" w:eastAsia="仿宋" w:cs="仿宋"/>
          <w:sz w:val="32"/>
          <w:szCs w:val="32"/>
        </w:rPr>
        <w:t>本制度由理事会负责解释。</w:t>
      </w:r>
    </w:p>
    <w:p>
      <w:pPr>
        <w:keepNext w:val="0"/>
        <w:keepLines w:val="0"/>
        <w:pageBreakBefore w:val="0"/>
        <w:kinsoku/>
        <w:wordWrap/>
        <w:overflowPunct/>
        <w:topLinePunct w:val="0"/>
        <w:autoSpaceDE/>
        <w:bidi w:val="0"/>
        <w:snapToGrid w:val="0"/>
        <w:spacing w:line="312" w:lineRule="auto"/>
        <w:ind w:firstLine="640" w:firstLineChars="200"/>
        <w:jc w:val="both"/>
        <w:rPr>
          <w:rFonts w:hint="eastAsia" w:ascii="仿宋" w:hAnsi="仿宋" w:eastAsia="仿宋" w:cs="仿宋"/>
          <w:sz w:val="32"/>
          <w:szCs w:val="32"/>
        </w:rPr>
      </w:pPr>
      <w:r>
        <w:rPr>
          <w:rFonts w:hint="eastAsia" w:ascii="仿宋" w:hAnsi="仿宋" w:eastAsia="仿宋" w:cs="仿宋"/>
          <w:kern w:val="0"/>
          <w:sz w:val="32"/>
          <w:szCs w:val="32"/>
        </w:rPr>
        <w:t>第二十条  本制度自</w:t>
      </w:r>
      <w:r>
        <w:rPr>
          <w:rFonts w:hint="eastAsia" w:ascii="仿宋" w:hAnsi="仿宋" w:eastAsia="仿宋" w:cs="仿宋"/>
          <w:kern w:val="0"/>
          <w:sz w:val="32"/>
          <w:szCs w:val="32"/>
          <w:lang w:eastAsia="zh-CN"/>
        </w:rPr>
        <w:t>第二届</w:t>
      </w:r>
      <w:r>
        <w:rPr>
          <w:rFonts w:hint="eastAsia" w:ascii="仿宋" w:hAnsi="仿宋" w:eastAsia="仿宋" w:cs="仿宋"/>
          <w:kern w:val="0"/>
          <w:sz w:val="32"/>
          <w:szCs w:val="32"/>
        </w:rPr>
        <w:t>理事会</w:t>
      </w:r>
      <w:r>
        <w:rPr>
          <w:rFonts w:hint="eastAsia" w:ascii="仿宋" w:hAnsi="仿宋" w:eastAsia="仿宋" w:cs="仿宋"/>
          <w:kern w:val="0"/>
          <w:sz w:val="32"/>
          <w:szCs w:val="32"/>
          <w:lang w:eastAsia="zh-CN"/>
        </w:rPr>
        <w:t>第四次会议</w:t>
      </w:r>
      <w:r>
        <w:rPr>
          <w:rFonts w:hint="eastAsia" w:ascii="仿宋" w:hAnsi="仿宋" w:eastAsia="仿宋" w:cs="仿宋"/>
          <w:kern w:val="0"/>
          <w:sz w:val="32"/>
          <w:szCs w:val="32"/>
        </w:rPr>
        <w:t>审议通过后执行</w:t>
      </w:r>
      <w:r>
        <w:rPr>
          <w:rFonts w:hint="eastAsia" w:ascii="仿宋" w:hAnsi="仿宋" w:eastAsia="仿宋" w:cs="仿宋"/>
          <w:sz w:val="32"/>
          <w:szCs w:val="32"/>
        </w:rPr>
        <w:t>。</w:t>
      </w:r>
    </w:p>
    <w:p>
      <w:pPr>
        <w:keepNext w:val="0"/>
        <w:keepLines w:val="0"/>
        <w:pageBreakBefore w:val="0"/>
        <w:kinsoku/>
        <w:wordWrap/>
        <w:overflowPunct/>
        <w:topLinePunct w:val="0"/>
        <w:autoSpaceDE/>
        <w:bidi w:val="0"/>
        <w:snapToGrid w:val="0"/>
        <w:spacing w:line="312" w:lineRule="auto"/>
        <w:ind w:firstLine="640" w:firstLineChars="200"/>
        <w:jc w:val="both"/>
        <w:rPr>
          <w:rFonts w:hint="eastAsia" w:ascii="仿宋" w:hAnsi="仿宋" w:eastAsia="仿宋" w:cs="仿宋"/>
          <w:sz w:val="32"/>
          <w:szCs w:val="32"/>
        </w:rPr>
      </w:pPr>
    </w:p>
    <w:p>
      <w:pPr>
        <w:keepNext w:val="0"/>
        <w:keepLines w:val="0"/>
        <w:pageBreakBefore w:val="0"/>
        <w:kinsoku/>
        <w:wordWrap/>
        <w:overflowPunct/>
        <w:topLinePunct w:val="0"/>
        <w:autoSpaceDE/>
        <w:bidi w:val="0"/>
        <w:spacing w:line="312" w:lineRule="auto"/>
        <w:jc w:val="both"/>
        <w:rPr>
          <w:rFonts w:hint="eastAsia" w:ascii="仿宋" w:hAnsi="仿宋" w:eastAsia="仿宋" w:cs="仿宋"/>
          <w:sz w:val="32"/>
          <w:szCs w:val="32"/>
        </w:rPr>
      </w:pPr>
    </w:p>
    <w:sectPr>
      <w:footerReference r:id="rId3" w:type="default"/>
      <w:pgSz w:w="11900"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3664"/>
    <w:multiLevelType w:val="singleLevel"/>
    <w:tmpl w:val="0B883664"/>
    <w:lvl w:ilvl="0" w:tentative="0">
      <w:start w:val="1"/>
      <w:numFmt w:val="chineseCounting"/>
      <w:suff w:val="space"/>
      <w:lvlText w:val="第%1章"/>
      <w:lvlJc w:val="left"/>
      <w:rPr>
        <w:rFonts w:hint="eastAsia"/>
      </w:rPr>
    </w:lvl>
  </w:abstractNum>
  <w:abstractNum w:abstractNumId="1">
    <w:nsid w:val="6A396190"/>
    <w:multiLevelType w:val="multilevel"/>
    <w:tmpl w:val="6A396190"/>
    <w:lvl w:ilvl="0" w:tentative="0">
      <w:start w:val="1"/>
      <w:numFmt w:val="japaneseCounting"/>
      <w:lvlText w:val="（%1）"/>
      <w:lvlJc w:val="left"/>
      <w:pPr>
        <w:ind w:left="2340" w:hanging="1080"/>
      </w:pPr>
      <w:rPr>
        <w:rFonts w:hint="eastAsia"/>
      </w:rPr>
    </w:lvl>
    <w:lvl w:ilvl="1" w:tentative="0">
      <w:start w:val="1"/>
      <w:numFmt w:val="lowerLetter"/>
      <w:lvlText w:val="%2)"/>
      <w:lvlJc w:val="left"/>
      <w:pPr>
        <w:ind w:left="2220" w:hanging="480"/>
      </w:pPr>
    </w:lvl>
    <w:lvl w:ilvl="2" w:tentative="0">
      <w:start w:val="1"/>
      <w:numFmt w:val="lowerRoman"/>
      <w:lvlText w:val="%3."/>
      <w:lvlJc w:val="right"/>
      <w:pPr>
        <w:ind w:left="2700" w:hanging="480"/>
      </w:pPr>
    </w:lvl>
    <w:lvl w:ilvl="3" w:tentative="0">
      <w:start w:val="1"/>
      <w:numFmt w:val="decimal"/>
      <w:lvlText w:val="%4."/>
      <w:lvlJc w:val="left"/>
      <w:pPr>
        <w:ind w:left="3180" w:hanging="480"/>
      </w:pPr>
    </w:lvl>
    <w:lvl w:ilvl="4" w:tentative="0">
      <w:start w:val="1"/>
      <w:numFmt w:val="lowerLetter"/>
      <w:lvlText w:val="%5)"/>
      <w:lvlJc w:val="left"/>
      <w:pPr>
        <w:ind w:left="3660" w:hanging="480"/>
      </w:pPr>
    </w:lvl>
    <w:lvl w:ilvl="5" w:tentative="0">
      <w:start w:val="1"/>
      <w:numFmt w:val="lowerRoman"/>
      <w:lvlText w:val="%6."/>
      <w:lvlJc w:val="right"/>
      <w:pPr>
        <w:ind w:left="4140" w:hanging="480"/>
      </w:pPr>
    </w:lvl>
    <w:lvl w:ilvl="6" w:tentative="0">
      <w:start w:val="1"/>
      <w:numFmt w:val="decimal"/>
      <w:lvlText w:val="%7."/>
      <w:lvlJc w:val="left"/>
      <w:pPr>
        <w:ind w:left="4620" w:hanging="480"/>
      </w:pPr>
    </w:lvl>
    <w:lvl w:ilvl="7" w:tentative="0">
      <w:start w:val="1"/>
      <w:numFmt w:val="lowerLetter"/>
      <w:lvlText w:val="%8)"/>
      <w:lvlJc w:val="left"/>
      <w:pPr>
        <w:ind w:left="5100" w:hanging="480"/>
      </w:pPr>
    </w:lvl>
    <w:lvl w:ilvl="8" w:tentative="0">
      <w:start w:val="1"/>
      <w:numFmt w:val="lowerRoman"/>
      <w:lvlText w:val="%9."/>
      <w:lvlJc w:val="right"/>
      <w:pPr>
        <w:ind w:left="55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1E"/>
    <w:rsid w:val="00215705"/>
    <w:rsid w:val="00322D1E"/>
    <w:rsid w:val="007A78CB"/>
    <w:rsid w:val="04A63799"/>
    <w:rsid w:val="0A3848CA"/>
    <w:rsid w:val="396B5AC9"/>
    <w:rsid w:val="39986BBB"/>
    <w:rsid w:val="4BE07F8B"/>
    <w:rsid w:val="6FAD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qFormat/>
    <w:uiPriority w:val="0"/>
  </w:style>
  <w:style w:type="character" w:customStyle="1" w:styleId="7">
    <w:name w:val="p0 Char"/>
    <w:link w:val="8"/>
    <w:qFormat/>
    <w:locked/>
    <w:uiPriority w:val="0"/>
    <w:rPr>
      <w:sz w:val="21"/>
      <w:szCs w:val="21"/>
    </w:rPr>
  </w:style>
  <w:style w:type="paragraph" w:customStyle="1" w:styleId="8">
    <w:name w:val="p0"/>
    <w:basedOn w:val="1"/>
    <w:link w:val="7"/>
    <w:qFormat/>
    <w:uiPriority w:val="0"/>
    <w:pPr>
      <w:widowControl/>
      <w:adjustRightInd/>
      <w:spacing w:line="240" w:lineRule="auto"/>
      <w:textAlignment w:val="auto"/>
    </w:pPr>
    <w:rPr>
      <w:rFonts w:asciiTheme="minorHAnsi" w:hAnsiTheme="minorHAnsi" w:eastAsiaTheme="minorEastAsia" w:cstheme="minorBid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349</Words>
  <Characters>1990</Characters>
  <Lines>16</Lines>
  <Paragraphs>4</Paragraphs>
  <TotalTime>8</TotalTime>
  <ScaleCrop>false</ScaleCrop>
  <LinksUpToDate>false</LinksUpToDate>
  <CharactersWithSpaces>2335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2017-07-12T07:54:00Z</dcterms:created>
  <dc:creator>Microsoft Office 用户</dc:creator>
  <cp:lastModifiedBy>Aspirin</cp:lastModifiedBy>
  <dcterms:modified xsi:type="dcterms:W3CDTF">2020-12-08T08:02:02Z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