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napToGrid w:val="0"/>
        <w:spacing w:line="276" w:lineRule="auto"/>
        <w:jc w:val="center"/>
        <w:rPr>
          <w:rFonts w:hint="eastAsia" w:ascii="黑体" w:hAnsi="黑体" w:eastAsia="黑体" w:cs="黑体"/>
          <w:sz w:val="40"/>
          <w:szCs w:val="40"/>
        </w:rPr>
      </w:pPr>
      <w:r>
        <w:rPr>
          <w:rFonts w:hint="eastAsia" w:ascii="黑体" w:hAnsi="黑体" w:eastAsia="黑体" w:cs="黑体"/>
          <w:sz w:val="40"/>
          <w:szCs w:val="40"/>
          <w:lang w:val="en-US" w:eastAsia="zh-CN"/>
        </w:rPr>
        <w:t>北京慈福公益基金会</w:t>
      </w:r>
      <w:r>
        <w:rPr>
          <w:rFonts w:hint="eastAsia" w:ascii="黑体" w:hAnsi="黑体" w:eastAsia="黑体" w:cs="黑体"/>
          <w:sz w:val="40"/>
          <w:szCs w:val="40"/>
        </w:rPr>
        <w:t>监事制度</w:t>
      </w:r>
    </w:p>
    <w:p>
      <w:pPr>
        <w:pStyle w:val="7"/>
        <w:adjustRightInd w:val="0"/>
        <w:snapToGrid w:val="0"/>
        <w:spacing w:line="276" w:lineRule="auto"/>
        <w:ind w:firstLine="600" w:firstLineChars="200"/>
        <w:jc w:val="center"/>
        <w:rPr>
          <w:rFonts w:ascii="宋体" w:hAnsi="宋体" w:eastAsia="宋体" w:cs="仿宋"/>
          <w:sz w:val="30"/>
          <w:szCs w:val="30"/>
        </w:rPr>
      </w:pPr>
    </w:p>
    <w:p>
      <w:pPr>
        <w:pStyle w:val="7"/>
        <w:numPr>
          <w:ilvl w:val="0"/>
          <w:numId w:val="1"/>
        </w:numPr>
        <w:adjustRightInd w:val="0"/>
        <w:snapToGrid w:val="0"/>
        <w:spacing w:line="276" w:lineRule="auto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 总  则</w:t>
      </w:r>
    </w:p>
    <w:p>
      <w:pPr>
        <w:pStyle w:val="7"/>
        <w:numPr>
          <w:ilvl w:val="0"/>
          <w:numId w:val="0"/>
        </w:numPr>
        <w:adjustRightInd w:val="0"/>
        <w:snapToGrid w:val="0"/>
        <w:spacing w:line="276" w:lineRule="auto"/>
        <w:jc w:val="both"/>
        <w:rPr>
          <w:rFonts w:hint="eastAsia" w:ascii="黑体" w:hAnsi="黑体" w:eastAsia="黑体" w:cs="黑体"/>
          <w:sz w:val="32"/>
          <w:szCs w:val="32"/>
        </w:rPr>
      </w:pPr>
    </w:p>
    <w:p>
      <w:pPr>
        <w:autoSpaceDN w:val="0"/>
        <w:snapToGrid w:val="0"/>
        <w:spacing w:line="276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第一条</w:t>
      </w:r>
      <w:r>
        <w:rPr>
          <w:rFonts w:hint="eastAsia" w:ascii="仿宋" w:hAnsi="仿宋" w:eastAsia="仿宋" w:cs="仿宋"/>
          <w:b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为确保监事会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监事</w:t>
      </w:r>
      <w:r>
        <w:rPr>
          <w:rFonts w:hint="eastAsia" w:ascii="仿宋" w:hAnsi="仿宋" w:eastAsia="仿宋" w:cs="仿宋"/>
          <w:sz w:val="32"/>
          <w:szCs w:val="32"/>
        </w:rPr>
        <w:t xml:space="preserve">依法独立、有效行使监督权，提高监管工作效力，根据《基金会管理条例》和本基金会章程，结合实际，制定本制度。   </w:t>
      </w:r>
    </w:p>
    <w:p>
      <w:pPr>
        <w:autoSpaceDN w:val="0"/>
        <w:snapToGrid w:val="0"/>
        <w:spacing w:line="276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第二条</w:t>
      </w:r>
      <w:r>
        <w:rPr>
          <w:rFonts w:hint="eastAsia" w:ascii="仿宋" w:hAnsi="仿宋" w:eastAsia="仿宋" w:cs="仿宋"/>
          <w:sz w:val="32"/>
          <w:szCs w:val="32"/>
        </w:rPr>
        <w:t xml:space="preserve">  监事应当依法行使监督权。  </w:t>
      </w:r>
    </w:p>
    <w:p>
      <w:pPr>
        <w:pStyle w:val="7"/>
        <w:adjustRightInd w:val="0"/>
        <w:snapToGrid w:val="0"/>
        <w:spacing w:line="276" w:lineRule="auto"/>
        <w:jc w:val="both"/>
        <w:rPr>
          <w:rFonts w:ascii="宋体" w:hAnsi="宋体" w:eastAsia="宋体" w:cs="仿宋"/>
          <w:b/>
          <w:bCs/>
          <w:sz w:val="30"/>
          <w:szCs w:val="30"/>
        </w:rPr>
      </w:pPr>
    </w:p>
    <w:p>
      <w:pPr>
        <w:pStyle w:val="7"/>
        <w:numPr>
          <w:ilvl w:val="0"/>
          <w:numId w:val="2"/>
        </w:numPr>
        <w:adjustRightInd w:val="0"/>
        <w:snapToGrid w:val="0"/>
        <w:spacing w:line="276" w:lineRule="auto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 监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32"/>
          <w:szCs w:val="32"/>
        </w:rPr>
        <w:t>事</w:t>
      </w:r>
    </w:p>
    <w:p>
      <w:pPr>
        <w:pStyle w:val="7"/>
        <w:numPr>
          <w:ilvl w:val="0"/>
          <w:numId w:val="0"/>
        </w:numPr>
        <w:adjustRightInd w:val="0"/>
        <w:snapToGrid w:val="0"/>
        <w:spacing w:line="276" w:lineRule="auto"/>
        <w:jc w:val="both"/>
        <w:rPr>
          <w:rFonts w:hint="eastAsia" w:ascii="黑体" w:hAnsi="黑体" w:eastAsia="黑体" w:cs="黑体"/>
          <w:sz w:val="32"/>
          <w:szCs w:val="32"/>
        </w:rPr>
      </w:pPr>
    </w:p>
    <w:p>
      <w:pPr>
        <w:autoSpaceDN w:val="0"/>
        <w:snapToGrid w:val="0"/>
        <w:spacing w:line="276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第三条</w:t>
      </w:r>
      <w:r>
        <w:rPr>
          <w:rFonts w:hint="eastAsia" w:ascii="仿宋" w:hAnsi="仿宋" w:eastAsia="仿宋" w:cs="仿宋"/>
          <w:b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本基金会设监事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1-</w:t>
      </w:r>
      <w:r>
        <w:rPr>
          <w:rFonts w:hint="eastAsia" w:ascii="仿宋" w:hAnsi="仿宋" w:eastAsia="仿宋" w:cs="仿宋"/>
          <w:sz w:val="32"/>
          <w:szCs w:val="32"/>
        </w:rPr>
        <w:t>2名，监事任期与理事任期相同，期满可以连任。</w:t>
      </w:r>
    </w:p>
    <w:p>
      <w:pPr>
        <w:autoSpaceDN w:val="0"/>
        <w:snapToGrid w:val="0"/>
        <w:spacing w:line="276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第四条</w:t>
      </w:r>
      <w:r>
        <w:rPr>
          <w:rFonts w:hint="eastAsia" w:ascii="仿宋" w:hAnsi="仿宋" w:eastAsia="仿宋" w:cs="仿宋"/>
          <w:b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监事的资格：</w:t>
      </w:r>
    </w:p>
    <w:p>
      <w:pPr>
        <w:autoSpaceDN w:val="0"/>
        <w:snapToGrid w:val="0"/>
        <w:spacing w:line="276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（一）具有完全民事行为能力，拥护本基金会宗旨，遵守本基金会章程；</w:t>
      </w:r>
    </w:p>
    <w:p>
      <w:pPr>
        <w:autoSpaceDN w:val="0"/>
        <w:snapToGrid w:val="0"/>
        <w:spacing w:line="276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（二）热心本基金会所从事的公益事业；</w:t>
      </w:r>
    </w:p>
    <w:p>
      <w:pPr>
        <w:autoSpaceDN w:val="0"/>
        <w:snapToGrid w:val="0"/>
        <w:spacing w:line="276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（三）坚持原则、公正廉洁；</w:t>
      </w:r>
    </w:p>
    <w:p>
      <w:pPr>
        <w:autoSpaceDN w:val="0"/>
        <w:snapToGrid w:val="0"/>
        <w:spacing w:line="276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（四）具有与担任监事相适应的工作阅历和经验；</w:t>
      </w:r>
    </w:p>
    <w:p>
      <w:pPr>
        <w:autoSpaceDN w:val="0"/>
        <w:snapToGrid w:val="0"/>
        <w:spacing w:line="276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（五）熟悉本基金会公益项目业务及相关法规政策开展情况；</w:t>
      </w:r>
    </w:p>
    <w:p>
      <w:pPr>
        <w:autoSpaceDN w:val="0"/>
        <w:snapToGrid w:val="0"/>
        <w:spacing w:line="276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第五条 </w:t>
      </w:r>
      <w:r>
        <w:rPr>
          <w:rFonts w:hint="eastAsia" w:ascii="仿宋" w:hAnsi="仿宋" w:eastAsia="仿宋" w:cs="仿宋"/>
          <w:sz w:val="32"/>
          <w:szCs w:val="32"/>
        </w:rPr>
        <w:t xml:space="preserve"> 理事、理事的近亲属和基金会财务人员不得兼任监事。</w:t>
      </w:r>
    </w:p>
    <w:p>
      <w:pPr>
        <w:autoSpaceDN w:val="0"/>
        <w:snapToGrid w:val="0"/>
        <w:spacing w:line="276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第六条  </w:t>
      </w:r>
      <w:r>
        <w:rPr>
          <w:rFonts w:hint="eastAsia" w:ascii="仿宋" w:hAnsi="仿宋" w:eastAsia="仿宋" w:cs="仿宋"/>
          <w:sz w:val="32"/>
          <w:szCs w:val="32"/>
        </w:rPr>
        <w:t>监事的产生和罢免：</w:t>
      </w:r>
    </w:p>
    <w:p>
      <w:pPr>
        <w:autoSpaceDN w:val="0"/>
        <w:snapToGrid w:val="0"/>
        <w:spacing w:line="276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（一）监事由主要捐赠人、发起人、理事、理事单位或名誉理事团提名，并参照基金会新增名誉理事的捐赠劝募标准进行遴选；</w:t>
      </w:r>
      <w:bookmarkStart w:id="0" w:name="_GoBack"/>
      <w:bookmarkEnd w:id="0"/>
    </w:p>
    <w:p>
      <w:pPr>
        <w:autoSpaceDN w:val="0"/>
        <w:snapToGrid w:val="0"/>
        <w:spacing w:line="276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（二）登记管理机关根据工作需要选派；</w:t>
      </w:r>
    </w:p>
    <w:p>
      <w:pPr>
        <w:autoSpaceDN w:val="0"/>
        <w:snapToGrid w:val="0"/>
        <w:spacing w:line="276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（三）监事的变更依照其产生程序。</w:t>
      </w:r>
    </w:p>
    <w:p>
      <w:pPr>
        <w:autoSpaceDN w:val="0"/>
        <w:snapToGrid w:val="0"/>
        <w:spacing w:line="276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第七条</w:t>
      </w:r>
      <w:r>
        <w:rPr>
          <w:rFonts w:hint="eastAsia" w:ascii="仿宋" w:hAnsi="仿宋" w:eastAsia="仿宋" w:cs="仿宋"/>
          <w:b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监事的权责：</w:t>
      </w:r>
    </w:p>
    <w:p>
      <w:pPr>
        <w:autoSpaceDN w:val="0"/>
        <w:snapToGrid w:val="0"/>
        <w:spacing w:line="276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（一）依照章程规定的程序检查基金会财务和会计资料，监督理事会遵守法律和章程的情况；</w:t>
      </w:r>
    </w:p>
    <w:p>
      <w:pPr>
        <w:autoSpaceDN w:val="0"/>
        <w:snapToGrid w:val="0"/>
        <w:spacing w:line="276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（二）列席理事会会议，有权向理事会提出质询和建议，并应当向登记管理机关、业务相关部门以及税务、会计主管部门反映情况；</w:t>
      </w:r>
    </w:p>
    <w:p>
      <w:pPr>
        <w:autoSpaceDN w:val="0"/>
        <w:snapToGrid w:val="0"/>
        <w:spacing w:line="276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（三）监事应当遵守有关法律法规和基金会章程，忠实履行职责；</w:t>
      </w:r>
    </w:p>
    <w:p>
      <w:pPr>
        <w:autoSpaceDN w:val="0"/>
        <w:snapToGrid w:val="0"/>
        <w:spacing w:line="276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（四）监事不得与基金会有任何交易行为。</w:t>
      </w:r>
    </w:p>
    <w:p>
      <w:pPr>
        <w:pStyle w:val="7"/>
        <w:adjustRightInd w:val="0"/>
        <w:snapToGrid w:val="0"/>
        <w:spacing w:line="276" w:lineRule="auto"/>
        <w:ind w:firstLine="600" w:firstLineChars="200"/>
        <w:jc w:val="center"/>
        <w:rPr>
          <w:rFonts w:ascii="宋体" w:hAnsi="宋体" w:eastAsia="宋体" w:cs="黑体"/>
          <w:bCs/>
          <w:sz w:val="30"/>
          <w:szCs w:val="30"/>
        </w:rPr>
      </w:pPr>
    </w:p>
    <w:p>
      <w:pPr>
        <w:pStyle w:val="7"/>
        <w:adjustRightInd w:val="0"/>
        <w:snapToGrid w:val="0"/>
        <w:spacing w:line="276" w:lineRule="auto"/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第三章  监事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工作</w:t>
      </w:r>
      <w:r>
        <w:rPr>
          <w:rFonts w:hint="eastAsia" w:ascii="黑体" w:hAnsi="黑体" w:eastAsia="黑体" w:cs="黑体"/>
          <w:bCs/>
          <w:sz w:val="32"/>
          <w:szCs w:val="32"/>
        </w:rPr>
        <w:t>会议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制度</w:t>
      </w:r>
      <w:r>
        <w:rPr>
          <w:rFonts w:hint="eastAsia" w:ascii="黑体" w:hAnsi="黑体" w:eastAsia="黑体" w:cs="黑体"/>
          <w:bCs/>
          <w:sz w:val="32"/>
          <w:szCs w:val="32"/>
        </w:rPr>
        <w:br w:type="textWrapping"/>
      </w:r>
    </w:p>
    <w:p>
      <w:pPr>
        <w:autoSpaceDN w:val="0"/>
        <w:snapToGrid w:val="0"/>
        <w:spacing w:line="276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第八条</w:t>
      </w:r>
      <w:r>
        <w:rPr>
          <w:rFonts w:hint="eastAsia" w:ascii="仿宋" w:hAnsi="仿宋" w:eastAsia="仿宋" w:cs="仿宋"/>
          <w:b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监事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工作</w:t>
      </w:r>
      <w:r>
        <w:rPr>
          <w:rFonts w:hint="eastAsia" w:ascii="仿宋" w:hAnsi="仿宋" w:eastAsia="仿宋" w:cs="仿宋"/>
          <w:sz w:val="32"/>
          <w:szCs w:val="32"/>
        </w:rPr>
        <w:t>会议依据工作需要随时召开，但每年不得少于2次。会议由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基金会</w:t>
      </w:r>
      <w:r>
        <w:rPr>
          <w:rFonts w:hint="eastAsia" w:ascii="仿宋" w:hAnsi="仿宋" w:eastAsia="仿宋" w:cs="仿宋"/>
          <w:sz w:val="32"/>
          <w:szCs w:val="32"/>
        </w:rPr>
        <w:t>监事主持，必要时邀请理事会有关人员参会。</w:t>
      </w:r>
    </w:p>
    <w:p>
      <w:pPr>
        <w:autoSpaceDN w:val="0"/>
        <w:snapToGrid w:val="0"/>
        <w:spacing w:line="276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第九条 </w:t>
      </w:r>
      <w:r>
        <w:rPr>
          <w:rFonts w:hint="eastAsia" w:ascii="仿宋" w:hAnsi="仿宋" w:eastAsia="仿宋" w:cs="仿宋"/>
          <w:sz w:val="32"/>
          <w:szCs w:val="32"/>
        </w:rPr>
        <w:t xml:space="preserve"> 监事会议要有专人作好记录。形成决议的，应当现场制作会议纪要，并由出席监事审阅、签名。必要时，应将讨论和研究的问题向本会理事长、理事会及有关部门通报。</w:t>
      </w:r>
    </w:p>
    <w:p>
      <w:pPr>
        <w:autoSpaceDN w:val="0"/>
        <w:snapToGrid w:val="0"/>
        <w:spacing w:line="276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第十条  </w:t>
      </w:r>
      <w:r>
        <w:rPr>
          <w:rFonts w:hint="eastAsia" w:ascii="仿宋" w:hAnsi="仿宋" w:eastAsia="仿宋" w:cs="仿宋"/>
          <w:sz w:val="32"/>
          <w:szCs w:val="32"/>
        </w:rPr>
        <w:t>决议违反法律、法规或章程规定，参与决议的监事应当承担责任。但经证明在表决时反对并记载于会议记录的，该监事可免除责任。</w:t>
      </w:r>
    </w:p>
    <w:p>
      <w:pPr>
        <w:pStyle w:val="7"/>
        <w:adjustRightInd w:val="0"/>
        <w:snapToGrid w:val="0"/>
        <w:spacing w:line="276" w:lineRule="auto"/>
        <w:ind w:firstLine="600" w:firstLineChars="200"/>
        <w:jc w:val="center"/>
        <w:rPr>
          <w:rFonts w:ascii="宋体" w:hAnsi="宋体" w:eastAsia="宋体" w:cs="黑体"/>
          <w:bCs/>
          <w:sz w:val="30"/>
          <w:szCs w:val="30"/>
        </w:rPr>
      </w:pPr>
    </w:p>
    <w:p>
      <w:pPr>
        <w:pStyle w:val="7"/>
        <w:numPr>
          <w:ilvl w:val="0"/>
          <w:numId w:val="3"/>
        </w:numPr>
        <w:adjustRightInd w:val="0"/>
        <w:snapToGrid w:val="0"/>
        <w:spacing w:line="276" w:lineRule="auto"/>
        <w:jc w:val="center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 xml:space="preserve"> 附  则</w:t>
      </w:r>
    </w:p>
    <w:p>
      <w:pPr>
        <w:pStyle w:val="7"/>
        <w:numPr>
          <w:ilvl w:val="0"/>
          <w:numId w:val="0"/>
        </w:numPr>
        <w:adjustRightInd w:val="0"/>
        <w:snapToGrid w:val="0"/>
        <w:spacing w:line="276" w:lineRule="auto"/>
        <w:jc w:val="both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autoSpaceDN w:val="0"/>
        <w:snapToGrid w:val="0"/>
        <w:spacing w:line="276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第十一条  </w:t>
      </w:r>
      <w:r>
        <w:rPr>
          <w:rFonts w:hint="eastAsia" w:ascii="仿宋" w:hAnsi="仿宋" w:eastAsia="仿宋" w:cs="仿宋"/>
          <w:sz w:val="32"/>
          <w:szCs w:val="32"/>
        </w:rPr>
        <w:t>本制度未尽事宜或与有关规定不一致的，按有关规定执行。</w:t>
      </w:r>
    </w:p>
    <w:p>
      <w:pPr>
        <w:pStyle w:val="7"/>
        <w:adjustRightInd w:val="0"/>
        <w:snapToGrid w:val="0"/>
        <w:spacing w:line="276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第十二条  </w:t>
      </w:r>
      <w:r>
        <w:rPr>
          <w:rFonts w:hint="eastAsia" w:ascii="仿宋" w:hAnsi="仿宋" w:eastAsia="仿宋" w:cs="仿宋"/>
          <w:sz w:val="32"/>
          <w:szCs w:val="32"/>
        </w:rPr>
        <w:t>本制度由理事会负责解释。</w:t>
      </w:r>
    </w:p>
    <w:p>
      <w:pPr>
        <w:pStyle w:val="7"/>
        <w:adjustRightInd w:val="0"/>
        <w:snapToGrid w:val="0"/>
        <w:spacing w:line="276" w:lineRule="auto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第十三条  </w:t>
      </w:r>
      <w:r>
        <w:rPr>
          <w:rFonts w:hint="eastAsia" w:ascii="仿宋" w:hAnsi="仿宋" w:eastAsia="仿宋" w:cs="仿宋"/>
          <w:sz w:val="32"/>
          <w:szCs w:val="32"/>
        </w:rPr>
        <w:t>本制度自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本基金会第二届理事会第四次会议审议</w:t>
      </w:r>
      <w:r>
        <w:rPr>
          <w:rFonts w:hint="eastAsia" w:ascii="仿宋" w:hAnsi="仿宋" w:eastAsia="仿宋" w:cs="仿宋"/>
          <w:sz w:val="32"/>
          <w:szCs w:val="32"/>
        </w:rPr>
        <w:t>通过后执行。</w:t>
      </w:r>
    </w:p>
    <w:p>
      <w:pPr>
        <w:snapToGrid w:val="0"/>
        <w:spacing w:line="276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footerReference r:id="rId3" w:type="default"/>
      <w:pgSz w:w="11900" w:h="16840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ngXian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ngXian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ngXi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3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3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8C9E6"/>
    <w:multiLevelType w:val="singleLevel"/>
    <w:tmpl w:val="2068C9E6"/>
    <w:lvl w:ilvl="0" w:tentative="0">
      <w:start w:val="2"/>
      <w:numFmt w:val="chineseCounting"/>
      <w:suff w:val="space"/>
      <w:lvlText w:val="第%1章"/>
      <w:lvlJc w:val="left"/>
      <w:rPr>
        <w:rFonts w:hint="eastAsia"/>
      </w:rPr>
    </w:lvl>
  </w:abstractNum>
  <w:abstractNum w:abstractNumId="1">
    <w:nsid w:val="2E62B8C9"/>
    <w:multiLevelType w:val="singleLevel"/>
    <w:tmpl w:val="2E62B8C9"/>
    <w:lvl w:ilvl="0" w:tentative="0">
      <w:start w:val="1"/>
      <w:numFmt w:val="chineseCounting"/>
      <w:suff w:val="space"/>
      <w:lvlText w:val="第%1章"/>
      <w:lvlJc w:val="left"/>
      <w:rPr>
        <w:rFonts w:hint="eastAsia"/>
      </w:rPr>
    </w:lvl>
  </w:abstractNum>
  <w:abstractNum w:abstractNumId="2">
    <w:nsid w:val="385ECCAF"/>
    <w:multiLevelType w:val="singleLevel"/>
    <w:tmpl w:val="385ECCAF"/>
    <w:lvl w:ilvl="0" w:tentative="0">
      <w:start w:val="4"/>
      <w:numFmt w:val="chineseCounting"/>
      <w:suff w:val="space"/>
      <w:lvlText w:val="第%1章"/>
      <w:lvlJc w:val="left"/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21A"/>
    <w:rsid w:val="00215705"/>
    <w:rsid w:val="00574FE0"/>
    <w:rsid w:val="0070621A"/>
    <w:rsid w:val="007A78CB"/>
    <w:rsid w:val="00EC332B"/>
    <w:rsid w:val="04F735CB"/>
    <w:rsid w:val="076031D4"/>
    <w:rsid w:val="15153BBD"/>
    <w:rsid w:val="1D802105"/>
    <w:rsid w:val="26BF3A8A"/>
    <w:rsid w:val="30680764"/>
    <w:rsid w:val="57CE3745"/>
    <w:rsid w:val="6D40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p0 Char"/>
    <w:link w:val="7"/>
    <w:qFormat/>
    <w:locked/>
    <w:uiPriority w:val="0"/>
    <w:rPr>
      <w:sz w:val="21"/>
      <w:szCs w:val="21"/>
    </w:rPr>
  </w:style>
  <w:style w:type="paragraph" w:customStyle="1" w:styleId="7">
    <w:name w:val="p0"/>
    <w:basedOn w:val="1"/>
    <w:link w:val="6"/>
    <w:qFormat/>
    <w:uiPriority w:val="0"/>
    <w:pPr>
      <w:widowControl/>
      <w:adjustRightInd/>
      <w:spacing w:line="240" w:lineRule="auto"/>
      <w:textAlignment w:val="auto"/>
    </w:pPr>
    <w:rPr>
      <w:rFonts w:asciiTheme="minorHAnsi" w:hAnsiTheme="minorHAnsi" w:eastAsiaTheme="minorEastAsia" w:cstheme="minorBid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137</Words>
  <Characters>783</Characters>
  <Lines>6</Lines>
  <Paragraphs>1</Paragraphs>
  <TotalTime>6</TotalTime>
  <ScaleCrop>false</ScaleCrop>
  <LinksUpToDate>false</LinksUpToDate>
  <CharactersWithSpaces>919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2017-07-12T07:49:00Z</dcterms:created>
  <dc:creator>Microsoft Office 用户</dc:creator>
  <cp:lastModifiedBy>Aspirin</cp:lastModifiedBy>
  <dcterms:modified xsi:type="dcterms:W3CDTF">2020-12-08T07:58:11Z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